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A5C0" w14:textId="6236DAAD" w:rsidR="00C70603" w:rsidRPr="00932120" w:rsidRDefault="00C70603" w:rsidP="00C70603">
      <w:pPr>
        <w:pStyle w:val="Heading1"/>
        <w:tabs>
          <w:tab w:val="left" w:pos="1980"/>
        </w:tabs>
        <w:spacing w:line="240" w:lineRule="auto"/>
        <w:ind w:left="1800"/>
        <w:rPr>
          <w:sz w:val="22"/>
        </w:rPr>
      </w:pPr>
      <w:bookmarkStart w:id="0" w:name="_GoBack"/>
      <w:bookmarkEnd w:id="0"/>
    </w:p>
    <w:p w14:paraId="0EA9971C" w14:textId="5AC49B4D" w:rsidR="00C70603" w:rsidRDefault="00C70603" w:rsidP="00C70603">
      <w:pPr>
        <w:pStyle w:val="Center"/>
        <w:widowControl/>
        <w:suppressAutoHyphens/>
        <w:ind w:left="1890"/>
        <w:jc w:val="left"/>
        <w:rPr>
          <w:rFonts w:ascii="Arial" w:hAnsi="Arial"/>
          <w:color w:val="464847"/>
          <w:sz w:val="22"/>
        </w:rPr>
      </w:pPr>
    </w:p>
    <w:p w14:paraId="1B16D747" w14:textId="2C631E5C" w:rsidR="00C70603" w:rsidRDefault="00C70603" w:rsidP="00C70603">
      <w:pPr>
        <w:pStyle w:val="Center"/>
        <w:widowControl/>
        <w:suppressAutoHyphens/>
        <w:ind w:left="1890"/>
        <w:jc w:val="left"/>
        <w:rPr>
          <w:rFonts w:ascii="Arial" w:hAnsi="Arial"/>
          <w:color w:val="464847"/>
          <w:sz w:val="22"/>
        </w:rPr>
      </w:pPr>
    </w:p>
    <w:p w14:paraId="564D8AEB" w14:textId="3A4CA23F" w:rsidR="00C70603" w:rsidRDefault="00C70603" w:rsidP="00C70603">
      <w:pPr>
        <w:pStyle w:val="Center"/>
        <w:widowControl/>
        <w:suppressAutoHyphens/>
        <w:ind w:left="1890"/>
        <w:jc w:val="left"/>
        <w:rPr>
          <w:rFonts w:ascii="Arial" w:hAnsi="Arial"/>
          <w:color w:val="464847"/>
          <w:sz w:val="22"/>
        </w:rPr>
      </w:pPr>
    </w:p>
    <w:p w14:paraId="77D74830" w14:textId="0FF66045" w:rsidR="00C70603" w:rsidRDefault="00C70603" w:rsidP="00C70603">
      <w:pPr>
        <w:pStyle w:val="Center"/>
        <w:widowControl/>
        <w:suppressAutoHyphens/>
        <w:jc w:val="left"/>
        <w:rPr>
          <w:rFonts w:ascii="Arial" w:hAnsi="Arial"/>
          <w:color w:val="464847"/>
          <w:sz w:val="22"/>
        </w:rPr>
      </w:pPr>
      <w:r>
        <w:rPr>
          <w:noProof/>
          <w:sz w:val="60"/>
        </w:rPr>
        <mc:AlternateContent>
          <mc:Choice Requires="wps">
            <w:drawing>
              <wp:anchor distT="0" distB="0" distL="114300" distR="114300" simplePos="0" relativeHeight="251659264" behindDoc="0" locked="0" layoutInCell="1" allowOverlap="1" wp14:anchorId="52264E54" wp14:editId="4142ECB2">
                <wp:simplePos x="0" y="0"/>
                <wp:positionH relativeFrom="page">
                  <wp:align>right</wp:align>
                </wp:positionH>
                <wp:positionV relativeFrom="paragraph">
                  <wp:posOffset>320040</wp:posOffset>
                </wp:positionV>
                <wp:extent cx="7772400" cy="2305050"/>
                <wp:effectExtent l="0" t="0" r="0" b="0"/>
                <wp:wrapTight wrapText="bothSides">
                  <wp:wrapPolygon edited="0">
                    <wp:start x="0" y="0"/>
                    <wp:lineTo x="0" y="21421"/>
                    <wp:lineTo x="21547" y="21421"/>
                    <wp:lineTo x="21547"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305050"/>
                        </a:xfrm>
                        <a:prstGeom prst="rect">
                          <a:avLst/>
                        </a:prstGeom>
                        <a:solidFill>
                          <a:srgbClr val="00598E">
                            <a:alpha val="71001"/>
                          </a:srgbClr>
                        </a:solidFill>
                        <a:ln>
                          <a:noFill/>
                        </a:ln>
                        <a:extLst/>
                      </wps:spPr>
                      <wps:txbx>
                        <w:txbxContent>
                          <w:p w14:paraId="1D68A26A" w14:textId="77777777" w:rsidR="00384204" w:rsidRPr="00BA511A" w:rsidRDefault="00384204" w:rsidP="00C70603">
                            <w:pPr>
                              <w:pStyle w:val="Center"/>
                              <w:widowControl/>
                              <w:suppressAutoHyphens/>
                              <w:jc w:val="left"/>
                              <w:rPr>
                                <w:rFonts w:ascii="Arial" w:hAnsi="Arial"/>
                                <w:color w:val="FFFFFF" w:themeColor="background1"/>
                              </w:rPr>
                            </w:pPr>
                          </w:p>
                          <w:p w14:paraId="522B6FAF" w14:textId="77777777" w:rsidR="00384204" w:rsidRPr="00BA511A" w:rsidRDefault="00384204" w:rsidP="00C70603">
                            <w:pPr>
                              <w:pStyle w:val="Center"/>
                              <w:widowControl/>
                              <w:ind w:left="3510"/>
                              <w:jc w:val="left"/>
                              <w:rPr>
                                <w:rFonts w:ascii="Arial" w:hAnsi="Arial"/>
                                <w:b/>
                                <w:color w:val="FFFFFF" w:themeColor="background1"/>
                                <w:sz w:val="36"/>
                                <w:szCs w:val="36"/>
                              </w:rPr>
                            </w:pPr>
                            <w:r w:rsidRPr="00BA511A">
                              <w:rPr>
                                <w:rFonts w:ascii="Arial" w:hAnsi="Arial"/>
                                <w:b/>
                                <w:color w:val="FFFFFF" w:themeColor="background1"/>
                                <w:sz w:val="36"/>
                                <w:szCs w:val="36"/>
                              </w:rPr>
                              <w:t xml:space="preserve">Model </w:t>
                            </w:r>
                            <w:r>
                              <w:rPr>
                                <w:rFonts w:ascii="Arial" w:hAnsi="Arial"/>
                                <w:b/>
                                <w:color w:val="FFFFFF" w:themeColor="background1"/>
                                <w:sz w:val="36"/>
                                <w:szCs w:val="36"/>
                              </w:rPr>
                              <w:t>Rhode Island</w:t>
                            </w:r>
                            <w:r w:rsidRPr="00BA511A">
                              <w:rPr>
                                <w:rFonts w:ascii="Arial" w:hAnsi="Arial"/>
                                <w:b/>
                                <w:color w:val="FFFFFF" w:themeColor="background1"/>
                                <w:sz w:val="36"/>
                                <w:szCs w:val="36"/>
                              </w:rPr>
                              <w:t xml:space="preserve"> Ordinance </w:t>
                            </w:r>
                          </w:p>
                          <w:p w14:paraId="676868BC" w14:textId="6E1E84DD" w:rsidR="00384204" w:rsidRDefault="00384204" w:rsidP="00C70603">
                            <w:pPr>
                              <w:pStyle w:val="Center"/>
                              <w:widowControl/>
                              <w:ind w:left="3510"/>
                              <w:jc w:val="left"/>
                              <w:rPr>
                                <w:rFonts w:ascii="Arial" w:hAnsi="Arial"/>
                                <w:b/>
                                <w:color w:val="FFFFFF" w:themeColor="background1"/>
                                <w:sz w:val="60"/>
                              </w:rPr>
                            </w:pPr>
                            <w:r>
                              <w:rPr>
                                <w:rFonts w:ascii="Arial" w:hAnsi="Arial"/>
                                <w:b/>
                                <w:color w:val="FFFFFF" w:themeColor="background1"/>
                                <w:sz w:val="60"/>
                              </w:rPr>
                              <w:t>Raising the Minimum Legal Sales Age for Tobacco Products to 21</w:t>
                            </w:r>
                          </w:p>
                          <w:p w14:paraId="2B86DE2C" w14:textId="77777777" w:rsidR="00384204" w:rsidRPr="004F5C23" w:rsidRDefault="00384204" w:rsidP="00C70603">
                            <w:pPr>
                              <w:tabs>
                                <w:tab w:val="left" w:pos="2340"/>
                              </w:tabs>
                              <w:suppressAutoHyphens/>
                              <w:spacing w:line="500" w:lineRule="exact"/>
                              <w:ind w:left="3510" w:right="999"/>
                              <w:rPr>
                                <w:rFonts w:ascii="Arial" w:hAnsi="Arial"/>
                                <w:caps/>
                                <w:color w:val="FFFFFF"/>
                                <w:sz w:val="32"/>
                              </w:rPr>
                            </w:pPr>
                            <w:r w:rsidRPr="004F5C23">
                              <w:rPr>
                                <w:rFonts w:ascii="Arial" w:hAnsi="Arial"/>
                                <w:caps/>
                                <w:color w:val="FFFFFF"/>
                                <w:sz w:val="32"/>
                              </w:rPr>
                              <w:t>with Annotations</w:t>
                            </w:r>
                          </w:p>
                          <w:p w14:paraId="70060AB5" w14:textId="77777777" w:rsidR="00384204" w:rsidRPr="00FC726B" w:rsidRDefault="00384204" w:rsidP="00C70603">
                            <w:pPr>
                              <w:pStyle w:val="Center"/>
                              <w:widowControl/>
                              <w:ind w:left="3150"/>
                              <w:jc w:val="left"/>
                              <w:rPr>
                                <w:sz w:val="60"/>
                              </w:rPr>
                            </w:pPr>
                            <w:r w:rsidRPr="00403CB6">
                              <w:rPr>
                                <w:rFonts w:ascii="Arial" w:hAnsi="Arial"/>
                                <w:b/>
                                <w:color w:val="FFFFFF" w:themeColor="background1"/>
                                <w:sz w:val="6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264E54" id="_x0000_t202" coordsize="21600,21600" o:spt="202" path="m,l,21600r21600,l21600,xe">
                <v:stroke joinstyle="miter"/>
                <v:path gradientshapeok="t" o:connecttype="rect"/>
              </v:shapetype>
              <v:shape id="Text Box 11" o:spid="_x0000_s1026" type="#_x0000_t202" style="position:absolute;margin-left:560.8pt;margin-top:25.2pt;width:612pt;height:18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" fillcolor="#00598e" stroked="f">
                <v:fill opacity="46517f"/>
                <v:textbox inset=",7.2pt,,7.2pt">
                  <w:txbxContent>
                    <w:p w14:paraId="1D68A26A" w14:textId="77777777" w:rsidR="00384204" w:rsidRPr="00BA511A" w:rsidRDefault="00384204" w:rsidP="00C70603">
                      <w:pPr>
                        <w:pStyle w:val="Center"/>
                        <w:widowControl/>
                        <w:suppressAutoHyphens/>
                        <w:jc w:val="left"/>
                        <w:rPr>
                          <w:rFonts w:ascii="Arial" w:hAnsi="Arial"/>
                          <w:color w:val="FFFFFF" w:themeColor="background1"/>
                        </w:rPr>
                      </w:pPr>
                    </w:p>
                    <w:p w14:paraId="522B6FAF" w14:textId="77777777" w:rsidR="00384204" w:rsidRPr="00BA511A" w:rsidRDefault="00384204" w:rsidP="00C70603">
                      <w:pPr>
                        <w:pStyle w:val="Center"/>
                        <w:widowControl/>
                        <w:ind w:left="3510"/>
                        <w:jc w:val="left"/>
                        <w:rPr>
                          <w:rFonts w:ascii="Arial" w:hAnsi="Arial"/>
                          <w:b/>
                          <w:color w:val="FFFFFF" w:themeColor="background1"/>
                          <w:sz w:val="36"/>
                          <w:szCs w:val="36"/>
                        </w:rPr>
                      </w:pPr>
                      <w:r w:rsidRPr="00BA511A">
                        <w:rPr>
                          <w:rFonts w:ascii="Arial" w:hAnsi="Arial"/>
                          <w:b/>
                          <w:color w:val="FFFFFF" w:themeColor="background1"/>
                          <w:sz w:val="36"/>
                          <w:szCs w:val="36"/>
                        </w:rPr>
                        <w:t xml:space="preserve">Model </w:t>
                      </w:r>
                      <w:r>
                        <w:rPr>
                          <w:rFonts w:ascii="Arial" w:hAnsi="Arial"/>
                          <w:b/>
                          <w:color w:val="FFFFFF" w:themeColor="background1"/>
                          <w:sz w:val="36"/>
                          <w:szCs w:val="36"/>
                        </w:rPr>
                        <w:t>Rhode Island</w:t>
                      </w:r>
                      <w:r w:rsidRPr="00BA511A">
                        <w:rPr>
                          <w:rFonts w:ascii="Arial" w:hAnsi="Arial"/>
                          <w:b/>
                          <w:color w:val="FFFFFF" w:themeColor="background1"/>
                          <w:sz w:val="36"/>
                          <w:szCs w:val="36"/>
                        </w:rPr>
                        <w:t xml:space="preserve"> Ordinance </w:t>
                      </w:r>
                    </w:p>
                    <w:p w14:paraId="676868BC" w14:textId="6E1E84DD" w:rsidR="00384204" w:rsidRDefault="00384204" w:rsidP="00C70603">
                      <w:pPr>
                        <w:pStyle w:val="Center"/>
                        <w:widowControl/>
                        <w:ind w:left="3510"/>
                        <w:jc w:val="left"/>
                        <w:rPr>
                          <w:rFonts w:ascii="Arial" w:hAnsi="Arial"/>
                          <w:b/>
                          <w:color w:val="FFFFFF" w:themeColor="background1"/>
                          <w:sz w:val="60"/>
                        </w:rPr>
                      </w:pPr>
                      <w:r>
                        <w:rPr>
                          <w:rFonts w:ascii="Arial" w:hAnsi="Arial"/>
                          <w:b/>
                          <w:color w:val="FFFFFF" w:themeColor="background1"/>
                          <w:sz w:val="60"/>
                        </w:rPr>
                        <w:t>Raising the Minimum Legal Sales Age for Tobacco Products to 21</w:t>
                      </w:r>
                    </w:p>
                    <w:p w14:paraId="2B86DE2C" w14:textId="77777777" w:rsidR="00384204" w:rsidRPr="004F5C23" w:rsidRDefault="00384204" w:rsidP="00C70603">
                      <w:pPr>
                        <w:tabs>
                          <w:tab w:val="left" w:pos="2340"/>
                        </w:tabs>
                        <w:suppressAutoHyphens/>
                        <w:spacing w:line="500" w:lineRule="exact"/>
                        <w:ind w:left="3510" w:right="999"/>
                        <w:rPr>
                          <w:rFonts w:ascii="Arial" w:hAnsi="Arial"/>
                          <w:caps/>
                          <w:color w:val="FFFFFF"/>
                          <w:sz w:val="32"/>
                        </w:rPr>
                      </w:pPr>
                      <w:r w:rsidRPr="004F5C23">
                        <w:rPr>
                          <w:rFonts w:ascii="Arial" w:hAnsi="Arial"/>
                          <w:caps/>
                          <w:color w:val="FFFFFF"/>
                          <w:sz w:val="32"/>
                        </w:rPr>
                        <w:t>with Annotations</w:t>
                      </w:r>
                    </w:p>
                    <w:p w14:paraId="70060AB5" w14:textId="77777777" w:rsidR="00384204" w:rsidRPr="00FC726B" w:rsidRDefault="00384204" w:rsidP="00C70603">
                      <w:pPr>
                        <w:pStyle w:val="Center"/>
                        <w:widowControl/>
                        <w:ind w:left="3150"/>
                        <w:jc w:val="left"/>
                        <w:rPr>
                          <w:sz w:val="60"/>
                        </w:rPr>
                      </w:pPr>
                      <w:r w:rsidRPr="00403CB6">
                        <w:rPr>
                          <w:rFonts w:ascii="Arial" w:hAnsi="Arial"/>
                          <w:b/>
                          <w:color w:val="FFFFFF" w:themeColor="background1"/>
                          <w:sz w:val="60"/>
                        </w:rPr>
                        <w:t xml:space="preserve"> </w:t>
                      </w:r>
                    </w:p>
                  </w:txbxContent>
                </v:textbox>
                <w10:wrap type="tight" anchorx="page"/>
              </v:shape>
            </w:pict>
          </mc:Fallback>
        </mc:AlternateContent>
      </w:r>
    </w:p>
    <w:p w14:paraId="79D7E572" w14:textId="77777777" w:rsidR="00C70603" w:rsidRDefault="00C70603" w:rsidP="00C70603">
      <w:pPr>
        <w:pStyle w:val="Center"/>
        <w:widowControl/>
        <w:suppressAutoHyphens/>
        <w:ind w:left="1890"/>
        <w:jc w:val="left"/>
        <w:rPr>
          <w:rFonts w:ascii="Arial" w:hAnsi="Arial"/>
          <w:color w:val="464847"/>
          <w:sz w:val="22"/>
        </w:rPr>
      </w:pPr>
    </w:p>
    <w:p w14:paraId="308A672B" w14:textId="77777777" w:rsidR="00397970" w:rsidRDefault="00397970" w:rsidP="00C70603">
      <w:pPr>
        <w:pStyle w:val="Center"/>
        <w:widowControl/>
        <w:suppressAutoHyphens/>
        <w:ind w:left="1890"/>
        <w:jc w:val="left"/>
        <w:rPr>
          <w:rFonts w:ascii="Arial" w:hAnsi="Arial"/>
          <w:color w:val="464847"/>
          <w:sz w:val="22"/>
        </w:rPr>
      </w:pPr>
    </w:p>
    <w:p w14:paraId="2EE871CF" w14:textId="77777777" w:rsidR="00C70603" w:rsidRDefault="00C70603" w:rsidP="000A2633">
      <w:pPr>
        <w:pStyle w:val="NormalText"/>
        <w:widowControl/>
        <w:suppressAutoHyphens/>
        <w:ind w:firstLine="0"/>
        <w:rPr>
          <w:sz w:val="20"/>
        </w:rPr>
      </w:pPr>
    </w:p>
    <w:p w14:paraId="2662E42C" w14:textId="77777777" w:rsidR="00C70603" w:rsidRDefault="00C70603" w:rsidP="00C70603">
      <w:pPr>
        <w:pStyle w:val="Center"/>
        <w:widowControl/>
        <w:tabs>
          <w:tab w:val="clear" w:pos="1080"/>
          <w:tab w:val="left" w:pos="1530"/>
          <w:tab w:val="left" w:pos="1980"/>
        </w:tabs>
        <w:suppressAutoHyphens/>
        <w:ind w:left="1890" w:right="10"/>
        <w:jc w:val="left"/>
        <w:rPr>
          <w:sz w:val="20"/>
        </w:rPr>
      </w:pPr>
    </w:p>
    <w:p w14:paraId="2C175C32" w14:textId="77777777" w:rsidR="009B00B2" w:rsidRPr="009B00B2" w:rsidRDefault="009B00B2" w:rsidP="009B00B2">
      <w:pPr>
        <w:pStyle w:val="disclamerbox"/>
        <w:framePr w:w="7648" w:h="1051" w:hRule="exact" w:wrap="around" w:hAnchor="page" w:x="3314" w:y="220"/>
        <w:pBdr>
          <w:top w:val="single" w:sz="2" w:space="6" w:color="D9D9D9"/>
          <w:left w:val="single" w:sz="2" w:space="6" w:color="D9D9D9"/>
          <w:bottom w:val="single" w:sz="2" w:space="6" w:color="D9D9D9"/>
          <w:right w:val="single" w:sz="2" w:space="6" w:color="D9D9D9"/>
        </w:pBdr>
        <w:tabs>
          <w:tab w:val="left" w:pos="360"/>
          <w:tab w:val="left" w:pos="1530"/>
          <w:tab w:val="left" w:pos="2340"/>
        </w:tabs>
        <w:ind w:left="360" w:right="0"/>
        <w:rPr>
          <w:kern w:val="28"/>
          <w:sz w:val="24"/>
          <w:szCs w:val="24"/>
        </w:rPr>
      </w:pPr>
      <w:r w:rsidRPr="009B00B2">
        <w:rPr>
          <w:kern w:val="28"/>
          <w:sz w:val="24"/>
          <w:szCs w:val="24"/>
        </w:rPr>
        <w:t>The legal information provided in this document does not constitute legal advice or legal representation. For legal advice, readers should consult a lawyer in their state.</w:t>
      </w:r>
    </w:p>
    <w:p w14:paraId="3AD83AE2" w14:textId="77777777" w:rsidR="00C70603" w:rsidRDefault="00C70603" w:rsidP="00C70603">
      <w:pPr>
        <w:pStyle w:val="Center"/>
        <w:widowControl/>
        <w:tabs>
          <w:tab w:val="clear" w:pos="1080"/>
          <w:tab w:val="left" w:pos="1530"/>
          <w:tab w:val="left" w:pos="1980"/>
        </w:tabs>
        <w:suppressAutoHyphens/>
        <w:ind w:left="1890" w:right="10"/>
        <w:jc w:val="left"/>
        <w:rPr>
          <w:sz w:val="20"/>
        </w:rPr>
      </w:pPr>
    </w:p>
    <w:p w14:paraId="1457D435" w14:textId="77777777" w:rsidR="00C70603" w:rsidRDefault="00C70603" w:rsidP="00C70603">
      <w:pPr>
        <w:pStyle w:val="Center"/>
        <w:widowControl/>
        <w:tabs>
          <w:tab w:val="clear" w:pos="1080"/>
          <w:tab w:val="left" w:pos="1530"/>
          <w:tab w:val="left" w:pos="1980"/>
        </w:tabs>
        <w:suppressAutoHyphens/>
        <w:ind w:left="1890" w:right="10"/>
        <w:jc w:val="left"/>
        <w:rPr>
          <w:sz w:val="20"/>
        </w:rPr>
      </w:pPr>
    </w:p>
    <w:p w14:paraId="0874C282" w14:textId="77777777" w:rsidR="00C70603" w:rsidRDefault="00C70603" w:rsidP="00C70603">
      <w:pPr>
        <w:pStyle w:val="Center"/>
        <w:widowControl/>
        <w:tabs>
          <w:tab w:val="clear" w:pos="1080"/>
          <w:tab w:val="left" w:pos="1530"/>
          <w:tab w:val="left" w:pos="1980"/>
        </w:tabs>
        <w:suppressAutoHyphens/>
        <w:ind w:left="1890" w:right="10"/>
        <w:jc w:val="left"/>
        <w:rPr>
          <w:sz w:val="20"/>
        </w:rPr>
      </w:pPr>
    </w:p>
    <w:p w14:paraId="0256B31F" w14:textId="77777777" w:rsidR="00C70603" w:rsidRDefault="00C70603" w:rsidP="00C70603">
      <w:pPr>
        <w:pStyle w:val="Center"/>
        <w:widowControl/>
        <w:tabs>
          <w:tab w:val="clear" w:pos="1080"/>
          <w:tab w:val="left" w:pos="1530"/>
          <w:tab w:val="left" w:pos="1980"/>
        </w:tabs>
        <w:suppressAutoHyphens/>
        <w:ind w:left="1890" w:right="10"/>
        <w:jc w:val="left"/>
        <w:rPr>
          <w:sz w:val="20"/>
        </w:rPr>
      </w:pPr>
    </w:p>
    <w:p w14:paraId="53226116" w14:textId="77777777" w:rsidR="00C70603" w:rsidRDefault="00C70603" w:rsidP="00C70603">
      <w:pPr>
        <w:pStyle w:val="Center"/>
        <w:widowControl/>
        <w:tabs>
          <w:tab w:val="clear" w:pos="1080"/>
          <w:tab w:val="left" w:pos="1530"/>
          <w:tab w:val="left" w:pos="1980"/>
        </w:tabs>
        <w:suppressAutoHyphens/>
        <w:ind w:left="1890" w:right="10"/>
        <w:jc w:val="left"/>
        <w:rPr>
          <w:sz w:val="20"/>
        </w:rPr>
      </w:pPr>
    </w:p>
    <w:p w14:paraId="2B80BAC4" w14:textId="77777777" w:rsidR="00C70603" w:rsidRDefault="00C70603" w:rsidP="00C70603">
      <w:pPr>
        <w:pStyle w:val="nPlancovertext"/>
        <w:tabs>
          <w:tab w:val="left" w:pos="1980"/>
        </w:tabs>
        <w:ind w:left="2250" w:right="10"/>
        <w:rPr>
          <w:sz w:val="28"/>
        </w:rPr>
      </w:pPr>
    </w:p>
    <w:p w14:paraId="0489BFCF" w14:textId="77777777" w:rsidR="00C70603" w:rsidRDefault="00C70603" w:rsidP="00C70603">
      <w:pPr>
        <w:pStyle w:val="nPlancovertext"/>
        <w:tabs>
          <w:tab w:val="left" w:pos="1980"/>
        </w:tabs>
        <w:ind w:left="2250" w:right="10"/>
        <w:rPr>
          <w:sz w:val="28"/>
        </w:rPr>
      </w:pPr>
    </w:p>
    <w:p w14:paraId="6A7AEA7E" w14:textId="02D8CC67" w:rsidR="00C70603" w:rsidRDefault="00C70603" w:rsidP="00C70603">
      <w:pPr>
        <w:jc w:val="both"/>
      </w:pPr>
      <w:r>
        <w:br w:type="page"/>
      </w:r>
    </w:p>
    <w:p w14:paraId="6FDC36DA" w14:textId="2CFC2704" w:rsidR="00397970" w:rsidRDefault="00397970" w:rsidP="00397970">
      <w:pPr>
        <w:jc w:val="both"/>
        <w:rPr>
          <w:b/>
        </w:rPr>
      </w:pPr>
      <w:r>
        <w:rPr>
          <w:b/>
        </w:rPr>
        <w:lastRenderedPageBreak/>
        <w:t>Introduction</w:t>
      </w:r>
    </w:p>
    <w:p w14:paraId="06B5F71C" w14:textId="7972938A" w:rsidR="00F637E5" w:rsidRDefault="00F637E5" w:rsidP="004F2995">
      <w:pPr>
        <w:spacing w:line="288" w:lineRule="auto"/>
      </w:pPr>
      <w:r>
        <w:t xml:space="preserve">This Model Ordinance was developed to assist Rhode Island </w:t>
      </w:r>
      <w:r w:rsidR="000C109F">
        <w:t>cities and towns</w:t>
      </w:r>
      <w:r>
        <w:t xml:space="preserve"> interested in raising the minimum legal </w:t>
      </w:r>
      <w:r w:rsidR="003E75AE">
        <w:t xml:space="preserve">sales </w:t>
      </w:r>
      <w:r>
        <w:t>age for tobacco product</w:t>
      </w:r>
      <w:r w:rsidR="005C3B60">
        <w:t>s</w:t>
      </w:r>
      <w:r>
        <w:t xml:space="preserve"> and tobacco paraphernalia</w:t>
      </w:r>
      <w:r w:rsidR="002162D3">
        <w:t xml:space="preserve"> from 18</w:t>
      </w:r>
      <w:r>
        <w:t xml:space="preserve"> to 21 </w:t>
      </w:r>
      <w:r w:rsidR="002162D3">
        <w:t xml:space="preserve">years old </w:t>
      </w:r>
      <w:r>
        <w:t xml:space="preserve">(“Tobacco 21”). Communities have adopted Tobacco 21 </w:t>
      </w:r>
      <w:r w:rsidR="005C3B60">
        <w:t>policies</w:t>
      </w:r>
      <w:r>
        <w:t xml:space="preserve"> to reduce youth access to tobacco and limit the negative public health effects associated with tobacco use.</w:t>
      </w:r>
    </w:p>
    <w:p w14:paraId="686865B7" w14:textId="77777777" w:rsidR="00F637E5" w:rsidRPr="004F2995" w:rsidRDefault="00F637E5" w:rsidP="004F2995">
      <w:pPr>
        <w:spacing w:line="288" w:lineRule="auto"/>
        <w:rPr>
          <w:sz w:val="20"/>
          <w:szCs w:val="20"/>
        </w:rPr>
      </w:pPr>
    </w:p>
    <w:p w14:paraId="08130722" w14:textId="21CA4A72" w:rsidR="00F637E5" w:rsidRDefault="00F637E5" w:rsidP="004F2995">
      <w:pPr>
        <w:pStyle w:val="NoSpacing"/>
        <w:spacing w:line="288" w:lineRule="auto"/>
      </w:pPr>
      <w:r>
        <w:t>Communities that want to implement a stand</w:t>
      </w:r>
      <w:r w:rsidR="002162D3">
        <w:t>-</w:t>
      </w:r>
      <w:r>
        <w:t xml:space="preserve">alone Tobacco 21 ordinance can adopt this model as is. Communities that have </w:t>
      </w:r>
      <w:r w:rsidR="00195E57">
        <w:t xml:space="preserve">adopted </w:t>
      </w:r>
      <w:r>
        <w:t xml:space="preserve">local tobacco retailer licensing can integrate the ordinance’s operative provisions into their licensing scheme. </w:t>
      </w:r>
    </w:p>
    <w:p w14:paraId="59807AF5" w14:textId="77777777" w:rsidR="00F637E5" w:rsidRPr="004F2995" w:rsidRDefault="00F637E5" w:rsidP="004F2995">
      <w:pPr>
        <w:spacing w:line="288" w:lineRule="auto"/>
        <w:jc w:val="both"/>
        <w:rPr>
          <w:sz w:val="20"/>
          <w:szCs w:val="20"/>
        </w:rPr>
      </w:pPr>
    </w:p>
    <w:p w14:paraId="47CC9D9F" w14:textId="20BFBD6B" w:rsidR="00F637E5" w:rsidRDefault="00F637E5" w:rsidP="004F2995">
      <w:pPr>
        <w:pStyle w:val="BasicParagraph"/>
      </w:pPr>
      <w:r w:rsidRPr="003A21EA">
        <w:rPr>
          <w:spacing w:val="-2"/>
        </w:rPr>
        <w:t xml:space="preserve">In some instances, </w:t>
      </w:r>
      <w:r w:rsidR="001024EA">
        <w:rPr>
          <w:spacing w:val="-2"/>
        </w:rPr>
        <w:t>italicized text within brackets</w:t>
      </w:r>
      <w:r w:rsidR="002162D3">
        <w:rPr>
          <w:spacing w:val="-2"/>
        </w:rPr>
        <w:t xml:space="preserve"> </w:t>
      </w:r>
      <w:r w:rsidRPr="003A21EA">
        <w:rPr>
          <w:spacing w:val="-2"/>
        </w:rPr>
        <w:t>(e.g., [ </w:t>
      </w:r>
      <w:r w:rsidR="001024EA">
        <w:rPr>
          <w:i/>
          <w:spacing w:val="-2"/>
        </w:rPr>
        <w:t>Name of City/Town</w:t>
      </w:r>
      <w:r w:rsidR="001024EA">
        <w:rPr>
          <w:spacing w:val="-2"/>
        </w:rPr>
        <w:t xml:space="preserve"> </w:t>
      </w:r>
      <w:r w:rsidRPr="003A21EA">
        <w:rPr>
          <w:spacing w:val="-2"/>
        </w:rPr>
        <w:t>] ) prompt you to customize the language</w:t>
      </w:r>
      <w:r w:rsidR="00D51F9F">
        <w:rPr>
          <w:spacing w:val="-2"/>
        </w:rPr>
        <w:t xml:space="preserve"> of the Model </w:t>
      </w:r>
      <w:r>
        <w:rPr>
          <w:spacing w:val="-2"/>
        </w:rPr>
        <w:t>Ordinance</w:t>
      </w:r>
      <w:r w:rsidRPr="003A21EA">
        <w:rPr>
          <w:spacing w:val="-2"/>
        </w:rPr>
        <w:t xml:space="preserve"> to fit your community’s needs. </w:t>
      </w:r>
      <w:r w:rsidR="001024EA">
        <w:rPr>
          <w:spacing w:val="-2"/>
        </w:rPr>
        <w:t xml:space="preserve">You must replace the italicized text with the appropriate information and remove the brackets. </w:t>
      </w:r>
      <w:r w:rsidRPr="003A21EA">
        <w:rPr>
          <w:spacing w:val="-2"/>
        </w:rPr>
        <w:t xml:space="preserve">In other cases, the </w:t>
      </w:r>
      <w:r w:rsidR="00195E57">
        <w:rPr>
          <w:spacing w:val="-2"/>
        </w:rPr>
        <w:t>Model O</w:t>
      </w:r>
      <w:r w:rsidRPr="003A21EA">
        <w:rPr>
          <w:spacing w:val="-2"/>
        </w:rPr>
        <w:t>rdinance</w:t>
      </w:r>
      <w:r>
        <w:rPr>
          <w:spacing w:val="-2"/>
        </w:rPr>
        <w:t xml:space="preserve"> provides </w:t>
      </w:r>
      <w:r w:rsidRPr="003A21EA">
        <w:rPr>
          <w:spacing w:val="-2"/>
        </w:rPr>
        <w:t>options (</w:t>
      </w:r>
      <w:r w:rsidR="000F0E6F">
        <w:rPr>
          <w:spacing w:val="-2"/>
        </w:rPr>
        <w:t>e</w:t>
      </w:r>
      <w:r w:rsidR="00195E57">
        <w:rPr>
          <w:spacing w:val="-2"/>
        </w:rPr>
        <w:t>.</w:t>
      </w:r>
      <w:r w:rsidR="000F0E6F">
        <w:rPr>
          <w:spacing w:val="-2"/>
        </w:rPr>
        <w:t>g</w:t>
      </w:r>
      <w:r w:rsidR="00195E57">
        <w:rPr>
          <w:spacing w:val="-2"/>
        </w:rPr>
        <w:t>.</w:t>
      </w:r>
      <w:r w:rsidR="000F0E6F">
        <w:rPr>
          <w:spacing w:val="-2"/>
        </w:rPr>
        <w:t>,</w:t>
      </w:r>
      <w:r w:rsidRPr="003A21EA">
        <w:rPr>
          <w:spacing w:val="-2"/>
        </w:rPr>
        <w:t xml:space="preserve"> [ </w:t>
      </w:r>
      <w:r w:rsidRPr="003A21EA">
        <w:rPr>
          <w:spacing w:val="-2"/>
          <w:u w:val="single"/>
        </w:rPr>
        <w:t>choice one</w:t>
      </w:r>
      <w:r w:rsidRPr="003A21EA">
        <w:rPr>
          <w:spacing w:val="-2"/>
        </w:rPr>
        <w:t xml:space="preserve"> / </w:t>
      </w:r>
      <w:r w:rsidRPr="003A21EA">
        <w:rPr>
          <w:spacing w:val="-2"/>
          <w:u w:val="double"/>
        </w:rPr>
        <w:t>choice two</w:t>
      </w:r>
      <w:r w:rsidRPr="003A21EA">
        <w:rPr>
          <w:spacing w:val="-2"/>
        </w:rPr>
        <w:t xml:space="preserve"> ] ).</w:t>
      </w:r>
      <w:r>
        <w:t xml:space="preserve"> </w:t>
      </w:r>
      <w:r w:rsidR="000C109F">
        <w:t xml:space="preserve">Provisions </w:t>
      </w:r>
      <w:r w:rsidR="004F2995">
        <w:t xml:space="preserve">entirely </w:t>
      </w:r>
      <w:r w:rsidR="000C109F">
        <w:t xml:space="preserve">in </w:t>
      </w:r>
      <w:r w:rsidR="000C109F">
        <w:rPr>
          <w:i/>
        </w:rPr>
        <w:t>italicized text</w:t>
      </w:r>
      <w:r w:rsidR="00795B86" w:rsidRPr="00795B86">
        <w:rPr>
          <w:i/>
        </w:rPr>
        <w:t xml:space="preserve"> </w:t>
      </w:r>
      <w:r w:rsidR="004F2995">
        <w:t xml:space="preserve">(without brackets) </w:t>
      </w:r>
      <w:r w:rsidR="000C109F">
        <w:t xml:space="preserve">are optional. </w:t>
      </w:r>
      <w:r w:rsidR="00795B86">
        <w:t xml:space="preserve">If you include the optional provision(s) in your ordinance, remove the italics. If you choose not to include the optional provision(s), delete </w:t>
      </w:r>
      <w:r w:rsidR="002162D3">
        <w:t xml:space="preserve">that text </w:t>
      </w:r>
      <w:r w:rsidR="00795B86">
        <w:t xml:space="preserve">from the ordinance. </w:t>
      </w:r>
      <w:r>
        <w:t xml:space="preserve">Some </w:t>
      </w:r>
      <w:r w:rsidR="00195E57">
        <w:t>Model O</w:t>
      </w:r>
      <w:r>
        <w:t xml:space="preserve">rdinance </w:t>
      </w:r>
      <w:r w:rsidR="002162D3">
        <w:t xml:space="preserve">provisions </w:t>
      </w:r>
      <w:r>
        <w:t xml:space="preserve">are followed by comments that describe the legal </w:t>
      </w:r>
      <w:r w:rsidR="002162D3">
        <w:t xml:space="preserve">components </w:t>
      </w:r>
      <w:r>
        <w:t xml:space="preserve">in more detail. Some degree of customization is always necessary to ensure the ordinance is consistent with a community’s existing laws. Your </w:t>
      </w:r>
      <w:r w:rsidR="00D51F9F">
        <w:t xml:space="preserve">local government’s legal counsel </w:t>
      </w:r>
      <w:r w:rsidR="002162D3">
        <w:t xml:space="preserve">is </w:t>
      </w:r>
      <w:r>
        <w:t>likely the best person to check this for you.</w:t>
      </w:r>
    </w:p>
    <w:p w14:paraId="2AC4AFE2" w14:textId="77777777" w:rsidR="00F637E5" w:rsidRPr="004F2995" w:rsidRDefault="00F637E5" w:rsidP="00F637E5">
      <w:pPr>
        <w:pStyle w:val="BasicParagraph"/>
        <w:rPr>
          <w:sz w:val="20"/>
          <w:szCs w:val="20"/>
        </w:rPr>
      </w:pPr>
    </w:p>
    <w:p w14:paraId="2B705AE2" w14:textId="1A363FAE" w:rsidR="007A52A4" w:rsidRDefault="007A52A4" w:rsidP="00F637E5">
      <w:pPr>
        <w:pStyle w:val="BasicParagraph"/>
        <w:rPr>
          <w:b/>
        </w:rPr>
      </w:pPr>
      <w:r>
        <w:rPr>
          <w:b/>
        </w:rPr>
        <w:t>Legal Authority</w:t>
      </w:r>
    </w:p>
    <w:p w14:paraId="4E9520CB" w14:textId="1EECD06D" w:rsidR="009B00B2" w:rsidRDefault="007A52A4" w:rsidP="00F637E5">
      <w:pPr>
        <w:pStyle w:val="BasicParagraph"/>
      </w:pPr>
      <w:r>
        <w:t xml:space="preserve">Rhode Island </w:t>
      </w:r>
      <w:r w:rsidR="000C109F">
        <w:t>cities and towns</w:t>
      </w:r>
      <w:r>
        <w:t xml:space="preserve"> have the authority to legislate on local matters concerning public health and safety</w:t>
      </w:r>
      <w:r w:rsidR="009B00B2">
        <w:t>,</w:t>
      </w:r>
      <w:r>
        <w:rPr>
          <w:rStyle w:val="EndnoteReference"/>
        </w:rPr>
        <w:endnoteReference w:id="1"/>
      </w:r>
      <w:r>
        <w:t xml:space="preserve"> </w:t>
      </w:r>
      <w:r w:rsidR="009B00B2">
        <w:t>and s</w:t>
      </w:r>
      <w:r>
        <w:t xml:space="preserve">tate law explicitly grants </w:t>
      </w:r>
      <w:r w:rsidR="000C109F">
        <w:t>cities and towns</w:t>
      </w:r>
      <w:r>
        <w:t xml:space="preserve"> the authority to enact ordinances and regulations “respecting the purchase and sale of merchandise or commodities within their respective </w:t>
      </w:r>
      <w:r w:rsidR="000C109F">
        <w:t>cities and towns</w:t>
      </w:r>
      <w:r>
        <w:t>.”</w:t>
      </w:r>
      <w:r>
        <w:rPr>
          <w:rStyle w:val="EndnoteReference"/>
        </w:rPr>
        <w:endnoteReference w:id="2"/>
      </w:r>
      <w:r>
        <w:t xml:space="preserve"> </w:t>
      </w:r>
      <w:r w:rsidR="00195E57">
        <w:t>Therefore</w:t>
      </w:r>
      <w:r w:rsidR="003E75AE">
        <w:t xml:space="preserve">, </w:t>
      </w:r>
      <w:r w:rsidR="000C109F">
        <w:t>cities and towns</w:t>
      </w:r>
      <w:r w:rsidR="003E75AE">
        <w:t xml:space="preserve"> in Rhode Island likely </w:t>
      </w:r>
      <w:r w:rsidR="00C22496">
        <w:t xml:space="preserve">have the authority to enact a </w:t>
      </w:r>
      <w:r w:rsidR="00984393">
        <w:t xml:space="preserve">local </w:t>
      </w:r>
      <w:r w:rsidR="00C22496">
        <w:t>Tobacco 21 law</w:t>
      </w:r>
      <w:r w:rsidR="009B00B2">
        <w:t xml:space="preserve"> raising the minimum legal sale</w:t>
      </w:r>
      <w:r w:rsidR="005C3B60">
        <w:t>s</w:t>
      </w:r>
      <w:r w:rsidR="009B00B2">
        <w:t xml:space="preserve"> age for tobacco products to 21</w:t>
      </w:r>
      <w:r w:rsidR="00C22496">
        <w:t xml:space="preserve">. </w:t>
      </w:r>
      <w:r w:rsidR="0052410C">
        <w:t>A</w:t>
      </w:r>
      <w:r w:rsidR="009B00B2">
        <w:t xml:space="preserve"> comprehensive legal analysis </w:t>
      </w:r>
      <w:r w:rsidR="008E0649">
        <w:t xml:space="preserve">of </w:t>
      </w:r>
      <w:r w:rsidR="00BE3367">
        <w:t>Rhode Island</w:t>
      </w:r>
      <w:r w:rsidR="008E0649">
        <w:t xml:space="preserve"> laws corroborates this, </w:t>
      </w:r>
      <w:r w:rsidR="009B00B2">
        <w:t>conclud</w:t>
      </w:r>
      <w:r w:rsidR="008E0649">
        <w:t>ing</w:t>
      </w:r>
      <w:r w:rsidR="009B00B2">
        <w:t xml:space="preserve"> that Rhode Island </w:t>
      </w:r>
      <w:r w:rsidR="000C109F">
        <w:t>cities and towns</w:t>
      </w:r>
      <w:r w:rsidR="009B00B2">
        <w:t xml:space="preserve"> </w:t>
      </w:r>
      <w:r w:rsidR="00195E57">
        <w:t xml:space="preserve">likely </w:t>
      </w:r>
      <w:r w:rsidR="008E0649">
        <w:t xml:space="preserve">can legally </w:t>
      </w:r>
      <w:r w:rsidR="00195E57">
        <w:t>adopt</w:t>
      </w:r>
      <w:r w:rsidR="009B00B2">
        <w:t xml:space="preserve"> a local Tobacco 21 law and that state law likely does not preempt a local government from taking such action.</w:t>
      </w:r>
      <w:r w:rsidR="009B00B2">
        <w:rPr>
          <w:rStyle w:val="EndnoteReference"/>
        </w:rPr>
        <w:endnoteReference w:id="3"/>
      </w:r>
      <w:r w:rsidR="009B00B2">
        <w:t xml:space="preserve"> </w:t>
      </w:r>
    </w:p>
    <w:p w14:paraId="10990B22" w14:textId="77777777" w:rsidR="009B00B2" w:rsidRPr="004F2995" w:rsidRDefault="009B00B2" w:rsidP="009B00B2">
      <w:pPr>
        <w:pStyle w:val="BasicParagraph"/>
        <w:rPr>
          <w:sz w:val="20"/>
          <w:szCs w:val="20"/>
        </w:rPr>
      </w:pPr>
    </w:p>
    <w:p w14:paraId="7D2DBE6C" w14:textId="411DCD29" w:rsidR="00FD5E28" w:rsidRDefault="009B00B2" w:rsidP="009B00B2">
      <w:pPr>
        <w:pStyle w:val="BasicParagraph"/>
      </w:pPr>
      <w:r>
        <w:t xml:space="preserve">This Model Ordinance has been carefully drafted to avoid </w:t>
      </w:r>
      <w:r w:rsidR="00637707">
        <w:t>conflicts</w:t>
      </w:r>
      <w:r>
        <w:t xml:space="preserve"> with state </w:t>
      </w:r>
      <w:r w:rsidR="005C3B60">
        <w:t>and</w:t>
      </w:r>
      <w:r>
        <w:t xml:space="preserve"> federal law</w:t>
      </w:r>
      <w:r w:rsidR="00C646D2">
        <w:t>s</w:t>
      </w:r>
      <w:r>
        <w:t xml:space="preserve">. However, all new laws carry certain risks, </w:t>
      </w:r>
      <w:r w:rsidR="00984393">
        <w:t>and local Tobacco 21 laws have not been</w:t>
      </w:r>
      <w:r>
        <w:t xml:space="preserve"> tested in Rhode Island courts.</w:t>
      </w:r>
      <w:r w:rsidRPr="009B00B2">
        <w:t xml:space="preserve"> </w:t>
      </w:r>
      <w:r w:rsidR="00C646D2">
        <w:t>Prior to adopting this ordinance, c</w:t>
      </w:r>
      <w:r>
        <w:t>ommunities should consult with an attorney licensed to practice in their jurisdiction</w:t>
      </w:r>
      <w:r w:rsidR="00C646D2">
        <w:t>.</w:t>
      </w:r>
    </w:p>
    <w:p w14:paraId="19ED5AEB" w14:textId="77777777" w:rsidR="00FD5E28" w:rsidRPr="004F2995" w:rsidRDefault="00FD5E28" w:rsidP="009B00B2">
      <w:pPr>
        <w:pStyle w:val="BasicParagraph"/>
        <w:rPr>
          <w:sz w:val="20"/>
          <w:szCs w:val="20"/>
        </w:rPr>
      </w:pPr>
    </w:p>
    <w:p w14:paraId="41C5B93F" w14:textId="77777777" w:rsidR="00FD5E28" w:rsidRDefault="00FD5E28" w:rsidP="009B00B2">
      <w:pPr>
        <w:pStyle w:val="BasicParagraph"/>
        <w:rPr>
          <w:b/>
        </w:rPr>
      </w:pPr>
      <w:r>
        <w:rPr>
          <w:b/>
        </w:rPr>
        <w:t>Disclaimer</w:t>
      </w:r>
    </w:p>
    <w:p w14:paraId="6A55E62E" w14:textId="695C4A96" w:rsidR="00D51F9F" w:rsidRPr="00FD5E28" w:rsidRDefault="00FD5E28" w:rsidP="009B00B2">
      <w:pPr>
        <w:pStyle w:val="BasicParagraph"/>
      </w:pPr>
      <w:r w:rsidRPr="00FD5E28">
        <w:rPr>
          <w:rFonts w:cs="Times New Roman"/>
        </w:rPr>
        <w:t xml:space="preserve">The legal information provided in this document does not constitute legal advice or legal representation. For legal advice, readers should consult </w:t>
      </w:r>
      <w:r w:rsidR="00C646D2">
        <w:rPr>
          <w:rFonts w:cs="Times New Roman"/>
        </w:rPr>
        <w:t xml:space="preserve">with </w:t>
      </w:r>
      <w:r w:rsidRPr="00FD5E28">
        <w:rPr>
          <w:rFonts w:cs="Times New Roman"/>
        </w:rPr>
        <w:t>a</w:t>
      </w:r>
      <w:r>
        <w:rPr>
          <w:rFonts w:cs="Times New Roman"/>
        </w:rPr>
        <w:t>n attorney licensed in their jurisdiction.</w:t>
      </w:r>
      <w:r w:rsidRPr="00FD5E28">
        <w:rPr>
          <w:rFonts w:cs="Times New Roman"/>
        </w:rPr>
        <w:t xml:space="preserve"> </w:t>
      </w:r>
      <w:r w:rsidR="00D51F9F" w:rsidRPr="00FD5E28">
        <w:rPr>
          <w:rFonts w:cs="Times New Roman"/>
        </w:rPr>
        <w:br w:type="page"/>
      </w:r>
    </w:p>
    <w:p w14:paraId="75A11FF7" w14:textId="43746203" w:rsidR="007A52A4" w:rsidRPr="002460DD" w:rsidRDefault="007A52A4" w:rsidP="00C22496">
      <w:pPr>
        <w:rPr>
          <w:b/>
        </w:rPr>
      </w:pPr>
      <w:r w:rsidRPr="002460DD">
        <w:rPr>
          <w:b/>
        </w:rPr>
        <w:lastRenderedPageBreak/>
        <w:t>AN ORDINANCE OF THE [ </w:t>
      </w:r>
      <w:r w:rsidRPr="002460DD">
        <w:rPr>
          <w:b/>
          <w:u w:val="single"/>
        </w:rPr>
        <w:t>CITY</w:t>
      </w:r>
      <w:r w:rsidRPr="002460DD">
        <w:rPr>
          <w:b/>
        </w:rPr>
        <w:t xml:space="preserve"> / </w:t>
      </w:r>
      <w:r w:rsidR="00C22496">
        <w:rPr>
          <w:b/>
          <w:u w:val="double"/>
        </w:rPr>
        <w:t>TOWN</w:t>
      </w:r>
      <w:r w:rsidRPr="002460DD">
        <w:rPr>
          <w:b/>
        </w:rPr>
        <w:t> ] OF [ </w:t>
      </w:r>
      <w:r w:rsidR="001024EA" w:rsidRPr="001024EA">
        <w:rPr>
          <w:b/>
          <w:i/>
        </w:rPr>
        <w:t xml:space="preserve">Name of </w:t>
      </w:r>
      <w:r w:rsidR="0011338E" w:rsidRPr="0011338E">
        <w:rPr>
          <w:b/>
          <w:i/>
        </w:rPr>
        <w:t>City/Town</w:t>
      </w:r>
      <w:r w:rsidR="00C22496">
        <w:t xml:space="preserve"> </w:t>
      </w:r>
      <w:r w:rsidRPr="002460DD">
        <w:rPr>
          <w:b/>
        </w:rPr>
        <w:t>]</w:t>
      </w:r>
      <w:r>
        <w:rPr>
          <w:b/>
        </w:rPr>
        <w:t xml:space="preserve"> </w:t>
      </w:r>
      <w:r w:rsidR="00C22496">
        <w:rPr>
          <w:b/>
        </w:rPr>
        <w:t>RAISING THE MINIMUM LEGAL SALE</w:t>
      </w:r>
      <w:r w:rsidR="00195E57">
        <w:rPr>
          <w:b/>
        </w:rPr>
        <w:t>S</w:t>
      </w:r>
      <w:r w:rsidR="00C22496">
        <w:rPr>
          <w:b/>
        </w:rPr>
        <w:t xml:space="preserve"> AGE OF TOBACCO PRODUCTS TO 21 </w:t>
      </w:r>
      <w:r w:rsidRPr="002460DD">
        <w:rPr>
          <w:b/>
        </w:rPr>
        <w:t>AND AMENDING THE [ </w:t>
      </w:r>
      <w:r w:rsidR="001024EA" w:rsidRPr="001024EA">
        <w:rPr>
          <w:b/>
          <w:i/>
        </w:rPr>
        <w:t xml:space="preserve">Name of </w:t>
      </w:r>
      <w:r w:rsidR="00E86A09">
        <w:rPr>
          <w:b/>
          <w:i/>
        </w:rPr>
        <w:t>City/</w:t>
      </w:r>
      <w:r w:rsidR="0011338E" w:rsidRPr="0011338E">
        <w:rPr>
          <w:b/>
          <w:i/>
        </w:rPr>
        <w:t>Town</w:t>
      </w:r>
      <w:r w:rsidR="001024EA">
        <w:rPr>
          <w:b/>
          <w:i/>
        </w:rPr>
        <w:t xml:space="preserve"> </w:t>
      </w:r>
      <w:r w:rsidRPr="002460DD">
        <w:rPr>
          <w:b/>
        </w:rPr>
        <w:t>] MUNICIPAL CODE</w:t>
      </w:r>
    </w:p>
    <w:p w14:paraId="7DEFC166" w14:textId="77777777" w:rsidR="007A52A4" w:rsidRDefault="007A52A4" w:rsidP="00874E44">
      <w:pPr>
        <w:pStyle w:val="BasicParagraph"/>
        <w:rPr>
          <w:rFonts w:cs="Times New Roman"/>
          <w:b/>
        </w:rPr>
      </w:pPr>
    </w:p>
    <w:p w14:paraId="70453931" w14:textId="503A9AEF" w:rsidR="00C22496" w:rsidRDefault="00C22496" w:rsidP="00C22496">
      <w:pPr>
        <w:pStyle w:val="BasicParagraph"/>
        <w:rPr>
          <w:rFonts w:cs="Times New Roman"/>
          <w:b/>
        </w:rPr>
      </w:pPr>
      <w:r>
        <w:t>The [</w:t>
      </w:r>
      <w:r w:rsidR="0011338E">
        <w:t xml:space="preserve"> </w:t>
      </w:r>
      <w:r w:rsidR="0011338E" w:rsidRPr="0011338E">
        <w:rPr>
          <w:i/>
        </w:rPr>
        <w:t xml:space="preserve">Name of City/Town’s </w:t>
      </w:r>
      <w:r w:rsidR="001024EA">
        <w:rPr>
          <w:i/>
        </w:rPr>
        <w:t>Legislative Body</w:t>
      </w:r>
      <w:r w:rsidR="0011338E">
        <w:rPr>
          <w:i/>
        </w:rPr>
        <w:t xml:space="preserve"> </w:t>
      </w:r>
      <w:r>
        <w:t>] of the [</w:t>
      </w:r>
      <w:r w:rsidR="000C109F">
        <w:t xml:space="preserve"> </w:t>
      </w:r>
      <w:r w:rsidRPr="003064DB">
        <w:rPr>
          <w:u w:val="single"/>
        </w:rPr>
        <w:t>City</w:t>
      </w:r>
      <w:r w:rsidRPr="003064DB">
        <w:t xml:space="preserve"> / </w:t>
      </w:r>
      <w:r>
        <w:rPr>
          <w:u w:val="double"/>
        </w:rPr>
        <w:t>Town</w:t>
      </w:r>
      <w:r w:rsidR="000C109F">
        <w:t xml:space="preserve"> ]</w:t>
      </w:r>
      <w:r>
        <w:t xml:space="preserve"> of [</w:t>
      </w:r>
      <w:r w:rsidR="000C109F">
        <w:t xml:space="preserve"> </w:t>
      </w:r>
      <w:r w:rsidR="001024EA" w:rsidRPr="001024EA">
        <w:rPr>
          <w:i/>
        </w:rPr>
        <w:t xml:space="preserve">Name of </w:t>
      </w:r>
      <w:r w:rsidR="0011338E" w:rsidRPr="0011338E">
        <w:rPr>
          <w:i/>
        </w:rPr>
        <w:t>City/Town</w:t>
      </w:r>
      <w:r w:rsidR="001024EA">
        <w:rPr>
          <w:i/>
        </w:rPr>
        <w:t xml:space="preserve"> </w:t>
      </w:r>
      <w:r>
        <w:t>] does ordain as follows:</w:t>
      </w:r>
    </w:p>
    <w:p w14:paraId="2AAFF687" w14:textId="77777777" w:rsidR="00C22496" w:rsidRDefault="00C22496" w:rsidP="00C22496">
      <w:pPr>
        <w:pStyle w:val="BasicParagraph"/>
        <w:rPr>
          <w:rFonts w:cs="Times New Roman"/>
          <w:b/>
        </w:rPr>
      </w:pPr>
    </w:p>
    <w:p w14:paraId="5C9AA8DC" w14:textId="3CD616FB" w:rsidR="00C22496" w:rsidRPr="00C22496" w:rsidRDefault="00C22496" w:rsidP="00C22496">
      <w:pPr>
        <w:pStyle w:val="commentsbox"/>
        <w:pBdr>
          <w:top w:val="single" w:sz="4" w:space="5" w:color="C0C0C0"/>
        </w:pBdr>
      </w:pPr>
      <w:r w:rsidRPr="00FD5E57">
        <w:rPr>
          <w:b/>
          <w:caps/>
        </w:rPr>
        <w:t>comment:</w:t>
      </w:r>
      <w:r>
        <w:t xml:space="preserve"> This is introductory boilerplate language that should be adapted to the conventional form used in the jurisdiction.</w:t>
      </w:r>
    </w:p>
    <w:p w14:paraId="344CEB72" w14:textId="77777777" w:rsidR="00C22496" w:rsidRDefault="00C22496" w:rsidP="00C22496">
      <w:pPr>
        <w:pStyle w:val="BasicParagraph"/>
        <w:rPr>
          <w:rFonts w:cs="Times New Roman"/>
          <w:b/>
        </w:rPr>
      </w:pPr>
    </w:p>
    <w:p w14:paraId="23FA6345" w14:textId="3CD8F864" w:rsidR="00D75B48" w:rsidRPr="00C22496" w:rsidRDefault="00C22496" w:rsidP="00C22496">
      <w:pPr>
        <w:pStyle w:val="BasicParagraph"/>
        <w:rPr>
          <w:rFonts w:cs="Times New Roman"/>
          <w:b/>
        </w:rPr>
      </w:pPr>
      <w:r>
        <w:rPr>
          <w:rFonts w:cs="Times New Roman"/>
          <w:b/>
        </w:rPr>
        <w:t xml:space="preserve">SECTION I. FINDINGS. </w:t>
      </w:r>
      <w:r w:rsidR="00BD1AC7">
        <w:t>The [</w:t>
      </w:r>
      <w:r w:rsidR="0011338E">
        <w:t xml:space="preserve"> </w:t>
      </w:r>
      <w:r w:rsidR="0011338E" w:rsidRPr="00404E99">
        <w:rPr>
          <w:i/>
        </w:rPr>
        <w:t xml:space="preserve">Name of City/Town’s </w:t>
      </w:r>
      <w:r w:rsidR="001024EA">
        <w:rPr>
          <w:i/>
        </w:rPr>
        <w:t>Legislative Body</w:t>
      </w:r>
      <w:r w:rsidR="0011338E">
        <w:rPr>
          <w:i/>
        </w:rPr>
        <w:t xml:space="preserve"> </w:t>
      </w:r>
      <w:r w:rsidR="00BD1AC7">
        <w:t>] of the [</w:t>
      </w:r>
      <w:r w:rsidR="000C109F">
        <w:t xml:space="preserve"> </w:t>
      </w:r>
      <w:r w:rsidR="00BD1AC7" w:rsidRPr="000C109F">
        <w:rPr>
          <w:u w:val="single"/>
        </w:rPr>
        <w:t>City</w:t>
      </w:r>
      <w:r w:rsidR="00BD1AC7" w:rsidRPr="003064DB">
        <w:t xml:space="preserve"> / </w:t>
      </w:r>
      <w:r w:rsidR="00BD1AC7">
        <w:rPr>
          <w:u w:val="double"/>
        </w:rPr>
        <w:t>Town</w:t>
      </w:r>
      <w:r w:rsidR="000C109F">
        <w:t xml:space="preserve"> ]</w:t>
      </w:r>
      <w:r w:rsidR="00BD1AC7">
        <w:t xml:space="preserve"> of [</w:t>
      </w:r>
      <w:r w:rsidR="001024EA">
        <w:t xml:space="preserve"> </w:t>
      </w:r>
      <w:r w:rsidR="001024EA" w:rsidRPr="001024EA">
        <w:rPr>
          <w:i/>
        </w:rPr>
        <w:t xml:space="preserve">Name of </w:t>
      </w:r>
      <w:r w:rsidR="0011338E" w:rsidRPr="00404E99">
        <w:rPr>
          <w:i/>
        </w:rPr>
        <w:t>City/Town</w:t>
      </w:r>
      <w:r w:rsidR="001024EA">
        <w:rPr>
          <w:i/>
        </w:rPr>
        <w:t xml:space="preserve"> </w:t>
      </w:r>
      <w:r w:rsidR="00BD1AC7">
        <w:t>]</w:t>
      </w:r>
      <w:r w:rsidR="00BD1AC7" w:rsidRPr="003064DB">
        <w:t xml:space="preserve"> hereby </w:t>
      </w:r>
      <w:r w:rsidR="00BD1AC7">
        <w:t>finds</w:t>
      </w:r>
      <w:r w:rsidR="00F637E5">
        <w:t xml:space="preserve"> and declares as follows</w:t>
      </w:r>
      <w:r w:rsidR="00BD1AC7">
        <w:t>:</w:t>
      </w:r>
    </w:p>
    <w:p w14:paraId="5E98CF34" w14:textId="77777777" w:rsidR="00BD1AC7" w:rsidRDefault="00BD1AC7"/>
    <w:p w14:paraId="77DAF0B2" w14:textId="39530A2C" w:rsidR="00FA5187" w:rsidRDefault="00FA5187" w:rsidP="00FA5187">
      <w:pPr>
        <w:pStyle w:val="BasicParagraph"/>
      </w:pPr>
      <w:r>
        <w:t>WHEREAS, approximately 480,000 people die in the United States from tobacco-related diseases every year, making tobacco use the nation’s leading cause of preventable death;</w:t>
      </w:r>
      <w:r>
        <w:rPr>
          <w:rStyle w:val="EndnoteReference"/>
        </w:rPr>
        <w:endnoteReference w:id="4"/>
      </w:r>
      <w:r>
        <w:t xml:space="preserve"> and</w:t>
      </w:r>
    </w:p>
    <w:p w14:paraId="2550C497" w14:textId="77777777" w:rsidR="00FA5187" w:rsidRDefault="00FA5187" w:rsidP="00FA5187">
      <w:pPr>
        <w:spacing w:line="288" w:lineRule="auto"/>
      </w:pPr>
    </w:p>
    <w:p w14:paraId="245EA39F" w14:textId="11B1ABEC" w:rsidR="00FA5187" w:rsidRDefault="00FA5187" w:rsidP="00FA5187">
      <w:pPr>
        <w:pStyle w:val="BasicParagraph"/>
      </w:pPr>
      <w:r>
        <w:t xml:space="preserve">WHEREAS, the World Health Organization (WHO) estimates that by 2030, tobacco will </w:t>
      </w:r>
      <w:r w:rsidR="00BE3367">
        <w:t xml:space="preserve">be responsible </w:t>
      </w:r>
      <w:r>
        <w:t>for 8.3 million deaths per year and 10</w:t>
      </w:r>
      <w:r w:rsidR="00BE3367">
        <w:t xml:space="preserve">% </w:t>
      </w:r>
      <w:r>
        <w:t>of all deaths worldwide;</w:t>
      </w:r>
      <w:r>
        <w:rPr>
          <w:rStyle w:val="EndnoteReference"/>
        </w:rPr>
        <w:endnoteReference w:id="5"/>
      </w:r>
      <w:r>
        <w:t xml:space="preserve"> and </w:t>
      </w:r>
    </w:p>
    <w:p w14:paraId="5DB7C8E0" w14:textId="77777777" w:rsidR="00FA5187" w:rsidRDefault="00FA5187" w:rsidP="00FA5187">
      <w:pPr>
        <w:spacing w:line="288" w:lineRule="auto"/>
      </w:pPr>
    </w:p>
    <w:p w14:paraId="63261130" w14:textId="64629C2C" w:rsidR="00BD1AC7" w:rsidRDefault="00F637E5" w:rsidP="00FA5187">
      <w:pPr>
        <w:spacing w:line="288" w:lineRule="auto"/>
      </w:pPr>
      <w:r>
        <w:t xml:space="preserve">WHEREAS, </w:t>
      </w:r>
      <w:r w:rsidR="00BD1AC7">
        <w:t>tobacco use is the number one cause of preventable death</w:t>
      </w:r>
      <w:r w:rsidR="00BD1AC7">
        <w:rPr>
          <w:rStyle w:val="EndnoteReference"/>
        </w:rPr>
        <w:endnoteReference w:id="6"/>
      </w:r>
      <w:r w:rsidR="00BD1AC7">
        <w:t xml:space="preserve"> in Rhode Island</w:t>
      </w:r>
      <w:r w:rsidR="00BD1AC7">
        <w:rPr>
          <w:rStyle w:val="EndnoteReference"/>
        </w:rPr>
        <w:endnoteReference w:id="7"/>
      </w:r>
      <w:r w:rsidR="00BD1AC7">
        <w:t xml:space="preserve"> and continues to be an urgent public health challenge, as evidenced by the following:</w:t>
      </w:r>
    </w:p>
    <w:p w14:paraId="4831A9EF" w14:textId="65D10D94" w:rsidR="00BD1AC7" w:rsidRDefault="00BD1AC7" w:rsidP="00FA5187">
      <w:pPr>
        <w:pStyle w:val="NoSpacing"/>
        <w:numPr>
          <w:ilvl w:val="0"/>
          <w:numId w:val="8"/>
        </w:numPr>
        <w:spacing w:line="288" w:lineRule="auto"/>
      </w:pPr>
      <w:r>
        <w:t>1,800 Rhode Island adults die from smo</w:t>
      </w:r>
      <w:r w:rsidR="00977C5F">
        <w:t>king-related diseases each year;</w:t>
      </w:r>
      <w:r>
        <w:rPr>
          <w:rStyle w:val="EndnoteReference"/>
        </w:rPr>
        <w:endnoteReference w:id="8"/>
      </w:r>
    </w:p>
    <w:p w14:paraId="6223BCB8" w14:textId="46199366" w:rsidR="00BD1AC7" w:rsidRDefault="00977C5F" w:rsidP="00FA5187">
      <w:pPr>
        <w:pStyle w:val="NoSpacing"/>
        <w:numPr>
          <w:ilvl w:val="0"/>
          <w:numId w:val="8"/>
        </w:numPr>
        <w:spacing w:line="288" w:lineRule="auto"/>
      </w:pPr>
      <w:r>
        <w:t xml:space="preserve">Nearly </w:t>
      </w:r>
      <w:r w:rsidR="00BE3367">
        <w:t xml:space="preserve">1 </w:t>
      </w:r>
      <w:r>
        <w:t xml:space="preserve">in </w:t>
      </w:r>
      <w:r w:rsidR="00BE3367">
        <w:t xml:space="preserve">13 </w:t>
      </w:r>
      <w:r>
        <w:t>Rhode Island youth who are alive today will die early from smoking-related diseases;</w:t>
      </w:r>
      <w:r>
        <w:rPr>
          <w:rStyle w:val="EndnoteReference"/>
        </w:rPr>
        <w:endnoteReference w:id="9"/>
      </w:r>
      <w:r w:rsidR="002B47DF" w:rsidRPr="002B47DF">
        <w:rPr>
          <w:vertAlign w:val="superscript"/>
        </w:rPr>
        <w:t>,</w:t>
      </w:r>
      <w:r>
        <w:rPr>
          <w:rStyle w:val="EndnoteReference"/>
        </w:rPr>
        <w:endnoteReference w:id="10"/>
      </w:r>
      <w:r w:rsidR="002B47DF" w:rsidRPr="002B47DF">
        <w:rPr>
          <w:vertAlign w:val="superscript"/>
        </w:rPr>
        <w:t>,</w:t>
      </w:r>
      <w:r>
        <w:rPr>
          <w:rStyle w:val="EndnoteReference"/>
        </w:rPr>
        <w:endnoteReference w:id="11"/>
      </w:r>
      <w:r>
        <w:t xml:space="preserve"> and</w:t>
      </w:r>
    </w:p>
    <w:p w14:paraId="161E9060" w14:textId="0A48A302" w:rsidR="00977C5F" w:rsidRDefault="00977C5F" w:rsidP="00FA5187">
      <w:pPr>
        <w:pStyle w:val="NoSpacing"/>
        <w:numPr>
          <w:ilvl w:val="0"/>
          <w:numId w:val="8"/>
        </w:numPr>
        <w:spacing w:line="288" w:lineRule="auto"/>
      </w:pPr>
      <w:r>
        <w:t>Tobacco use can cause disease in nearly all organ systems and is responsible for 87% of lung cancer deaths, 79% of all chronic obstructive pulmonary disease deaths, and 32% of coronary heart disease deaths;</w:t>
      </w:r>
      <w:r>
        <w:rPr>
          <w:rStyle w:val="EndnoteReference"/>
        </w:rPr>
        <w:endnoteReference w:id="12"/>
      </w:r>
      <w:r w:rsidR="00FA5187">
        <w:t xml:space="preserve"> and</w:t>
      </w:r>
    </w:p>
    <w:p w14:paraId="466E3C2C" w14:textId="77777777" w:rsidR="00BD1AC7" w:rsidRDefault="00BD1AC7" w:rsidP="00FA5187">
      <w:pPr>
        <w:spacing w:line="288" w:lineRule="auto"/>
      </w:pPr>
    </w:p>
    <w:p w14:paraId="082C1E6D" w14:textId="1FA23841" w:rsidR="00977C5F" w:rsidRDefault="00F637E5" w:rsidP="00FA5187">
      <w:pPr>
        <w:spacing w:line="288" w:lineRule="auto"/>
      </w:pPr>
      <w:r>
        <w:t>WHEREAS,</w:t>
      </w:r>
      <w:r w:rsidR="00977C5F">
        <w:t xml:space="preserve"> every year smoking costs Rhode Island nearly $1.1 billion dollars in direct health care costs and lost productivity;</w:t>
      </w:r>
      <w:r w:rsidR="00977C5F">
        <w:rPr>
          <w:rStyle w:val="EndnoteReference"/>
        </w:rPr>
        <w:endnoteReference w:id="13"/>
      </w:r>
      <w:r w:rsidR="00FA5187">
        <w:t xml:space="preserve"> and</w:t>
      </w:r>
    </w:p>
    <w:p w14:paraId="049DF181" w14:textId="77777777" w:rsidR="00977C5F" w:rsidRDefault="00977C5F" w:rsidP="00FA5187">
      <w:pPr>
        <w:spacing w:line="288" w:lineRule="auto"/>
      </w:pPr>
    </w:p>
    <w:p w14:paraId="3CAE0078" w14:textId="5E38773C" w:rsidR="003E75AE" w:rsidRPr="003E75AE" w:rsidRDefault="003E75AE" w:rsidP="003E75AE">
      <w:pPr>
        <w:spacing w:line="288" w:lineRule="auto"/>
      </w:pPr>
      <w:r>
        <w:t>WHEREAS, the Rhode Island Legislature has recognized the danger of tobacco use and has made reducing youth access to tobacco products a high priority, as evidence by the</w:t>
      </w:r>
      <w:r w:rsidR="00BE3367">
        <w:t>se</w:t>
      </w:r>
      <w:r>
        <w:t xml:space="preserve"> fact</w:t>
      </w:r>
      <w:r w:rsidR="00BE3367">
        <w:t>s</w:t>
      </w:r>
      <w:r>
        <w:t>:</w:t>
      </w:r>
    </w:p>
    <w:p w14:paraId="7A54BE80" w14:textId="1FD432EA" w:rsidR="003E75AE" w:rsidRPr="003E75AE" w:rsidRDefault="003E75AE" w:rsidP="003E75AE">
      <w:pPr>
        <w:pStyle w:val="ListParagraph"/>
        <w:numPr>
          <w:ilvl w:val="0"/>
          <w:numId w:val="10"/>
        </w:numPr>
        <w:spacing w:after="0" w:line="288" w:lineRule="auto"/>
      </w:pPr>
      <w:r>
        <w:rPr>
          <w:rFonts w:ascii="Times New Roman" w:hAnsi="Times New Roman" w:cs="Times New Roman"/>
          <w:sz w:val="24"/>
          <w:szCs w:val="24"/>
        </w:rPr>
        <w:t>The Legislature has declared that the “use of tobacco by Rhode Island children is a health and substance abuse problem of the utmost severity</w:t>
      </w:r>
      <w:r w:rsidR="00BE3367">
        <w:rPr>
          <w:rFonts w:ascii="Times New Roman" w:hAnsi="Times New Roman" w:cs="Times New Roman"/>
          <w:sz w:val="24"/>
          <w:szCs w:val="24"/>
        </w:rPr>
        <w:t>”</w:t>
      </w:r>
      <w:r>
        <w:rPr>
          <w:rFonts w:ascii="Times New Roman" w:hAnsi="Times New Roman" w:cs="Times New Roman"/>
          <w:sz w:val="24"/>
          <w:szCs w:val="24"/>
        </w:rPr>
        <w:t xml:space="preserve"> (R.I. Gen. Laws § 11-9-13.3); and</w:t>
      </w:r>
    </w:p>
    <w:p w14:paraId="10CF1865" w14:textId="77777777" w:rsidR="003E75AE" w:rsidRPr="003E75AE" w:rsidRDefault="003E75AE" w:rsidP="003E75AE">
      <w:pPr>
        <w:pStyle w:val="ListParagraph"/>
        <w:numPr>
          <w:ilvl w:val="0"/>
          <w:numId w:val="10"/>
        </w:numPr>
        <w:spacing w:after="0" w:line="288" w:lineRule="auto"/>
      </w:pPr>
      <w:r>
        <w:rPr>
          <w:rFonts w:ascii="Times New Roman" w:hAnsi="Times New Roman" w:cs="Times New Roman"/>
          <w:sz w:val="24"/>
          <w:szCs w:val="24"/>
        </w:rPr>
        <w:t>State law prohibits selling, giving, or delivering to any person under 18 years old tobacco in any form, including electronic smoking devices (R.I. Gen. Laws. §§ 11-9-13, 11-9-13.8); and</w:t>
      </w:r>
    </w:p>
    <w:p w14:paraId="55A8B79F" w14:textId="05EE22C2" w:rsidR="003E75AE" w:rsidRPr="003E75AE" w:rsidRDefault="003E75AE" w:rsidP="003E75AE">
      <w:pPr>
        <w:pStyle w:val="ListParagraph"/>
        <w:numPr>
          <w:ilvl w:val="0"/>
          <w:numId w:val="10"/>
        </w:numPr>
        <w:spacing w:after="0" w:line="288" w:lineRule="auto"/>
      </w:pPr>
      <w:r>
        <w:rPr>
          <w:rFonts w:ascii="Times New Roman" w:hAnsi="Times New Roman" w:cs="Times New Roman"/>
          <w:sz w:val="24"/>
          <w:szCs w:val="24"/>
        </w:rPr>
        <w:lastRenderedPageBreak/>
        <w:t>State law requires businesses selling tobacco products to post prominently for public view</w:t>
      </w:r>
      <w:r w:rsidR="00010016">
        <w:rPr>
          <w:rFonts w:ascii="Times New Roman" w:hAnsi="Times New Roman" w:cs="Times New Roman"/>
          <w:sz w:val="24"/>
          <w:szCs w:val="24"/>
        </w:rPr>
        <w:t>ing</w:t>
      </w:r>
      <w:r>
        <w:rPr>
          <w:rFonts w:ascii="Times New Roman" w:hAnsi="Times New Roman" w:cs="Times New Roman"/>
          <w:sz w:val="24"/>
          <w:szCs w:val="24"/>
        </w:rPr>
        <w:t xml:space="preserve"> signs conveying the negative health effects of tobacco (R.I. Gen. Laws § 11-9-13.8.1); and</w:t>
      </w:r>
    </w:p>
    <w:p w14:paraId="0D158220" w14:textId="77777777" w:rsidR="003E75AE" w:rsidRDefault="003E75AE" w:rsidP="003E75AE">
      <w:pPr>
        <w:pStyle w:val="ListParagraph"/>
        <w:spacing w:after="0" w:line="288" w:lineRule="auto"/>
      </w:pPr>
    </w:p>
    <w:p w14:paraId="3A4690EB" w14:textId="0787D296" w:rsidR="00977C5F" w:rsidRDefault="00F637E5" w:rsidP="00FA5187">
      <w:pPr>
        <w:spacing w:line="288" w:lineRule="auto"/>
      </w:pPr>
      <w:r>
        <w:t>WHEREAS,</w:t>
      </w:r>
      <w:r w:rsidR="002B47DF">
        <w:t xml:space="preserve"> nearly 95</w:t>
      </w:r>
      <w:r w:rsidR="00BE3367">
        <w:t xml:space="preserve">% </w:t>
      </w:r>
      <w:r w:rsidR="002B47DF">
        <w:t>of people who smoke start by age 21;</w:t>
      </w:r>
      <w:r w:rsidR="002B47DF">
        <w:rPr>
          <w:rStyle w:val="EndnoteReference"/>
        </w:rPr>
        <w:endnoteReference w:id="14"/>
      </w:r>
      <w:r w:rsidR="00FA5187">
        <w:t xml:space="preserve"> and</w:t>
      </w:r>
    </w:p>
    <w:p w14:paraId="37CCEB00" w14:textId="77777777" w:rsidR="002B47DF" w:rsidRDefault="002B47DF" w:rsidP="00FA5187">
      <w:pPr>
        <w:spacing w:line="288" w:lineRule="auto"/>
      </w:pPr>
    </w:p>
    <w:p w14:paraId="19B67041" w14:textId="16D3BBE0" w:rsidR="002B47DF" w:rsidRDefault="00F637E5" w:rsidP="00FA5187">
      <w:pPr>
        <w:spacing w:line="288" w:lineRule="auto"/>
      </w:pPr>
      <w:r>
        <w:t>WHEREAS,</w:t>
      </w:r>
      <w:r w:rsidR="002B47DF" w:rsidRPr="00C720A3">
        <w:t xml:space="preserve"> individuals who begin smoking at an early age are more likely </w:t>
      </w:r>
      <w:r w:rsidR="00BE3367" w:rsidRPr="00C720A3">
        <w:t xml:space="preserve">than those who start at a later </w:t>
      </w:r>
      <w:r w:rsidR="00BE3367">
        <w:rPr>
          <w:noProof/>
        </w:rPr>
        <w:t>age</w:t>
      </w:r>
      <w:r w:rsidR="00BE3367" w:rsidRPr="00C720A3">
        <w:t xml:space="preserve"> </w:t>
      </w:r>
      <w:r w:rsidR="002B47DF" w:rsidRPr="00C720A3">
        <w:t>to develop a severe addiction to nicotine</w:t>
      </w:r>
      <w:r w:rsidR="002B47DF">
        <w:rPr>
          <w:noProof/>
        </w:rPr>
        <w:t>;</w:t>
      </w:r>
      <w:r w:rsidR="002B47DF" w:rsidRPr="00C720A3">
        <w:rPr>
          <w:rStyle w:val="EndnoteReference"/>
          <w:noProof/>
        </w:rPr>
        <w:endnoteReference w:id="15"/>
      </w:r>
      <w:r w:rsidR="002B47DF" w:rsidRPr="00C720A3">
        <w:rPr>
          <w:vertAlign w:val="superscript"/>
        </w:rPr>
        <w:t>,</w:t>
      </w:r>
      <w:r w:rsidR="002B47DF" w:rsidRPr="00C720A3">
        <w:rPr>
          <w:rStyle w:val="EndnoteReference"/>
        </w:rPr>
        <w:endnoteReference w:id="16"/>
      </w:r>
      <w:r w:rsidR="002B47DF" w:rsidRPr="00C720A3">
        <w:t xml:space="preserve"> </w:t>
      </w:r>
      <w:r w:rsidR="00FA5187">
        <w:t>and</w:t>
      </w:r>
    </w:p>
    <w:p w14:paraId="7E19071A" w14:textId="77777777" w:rsidR="002B47DF" w:rsidRDefault="002B47DF" w:rsidP="00FA5187">
      <w:pPr>
        <w:spacing w:line="288" w:lineRule="auto"/>
      </w:pPr>
    </w:p>
    <w:p w14:paraId="24F91A92" w14:textId="53DB2D42" w:rsidR="002B47DF" w:rsidRPr="002B47DF" w:rsidRDefault="00F637E5" w:rsidP="00FA5187">
      <w:pPr>
        <w:spacing w:line="288" w:lineRule="auto"/>
      </w:pPr>
      <w:r>
        <w:t>WHEREAS,</w:t>
      </w:r>
      <w:r w:rsidR="002B47DF" w:rsidRPr="002B47DF">
        <w:t xml:space="preserve"> the </w:t>
      </w:r>
      <w:r w:rsidR="00BE3367">
        <w:t>earlier</w:t>
      </w:r>
      <w:r w:rsidR="00BE3367" w:rsidRPr="002B47DF">
        <w:t xml:space="preserve"> </w:t>
      </w:r>
      <w:r w:rsidR="002B47DF" w:rsidRPr="002B47DF">
        <w:t xml:space="preserve">people start </w:t>
      </w:r>
      <w:r w:rsidR="002B47DF" w:rsidRPr="002B47DF">
        <w:rPr>
          <w:noProof/>
        </w:rPr>
        <w:t>smoking</w:t>
      </w:r>
      <w:r w:rsidR="00BE3367">
        <w:rPr>
          <w:noProof/>
        </w:rPr>
        <w:t xml:space="preserve"> in their life</w:t>
      </w:r>
      <w:r w:rsidR="002B47DF" w:rsidRPr="002B47DF">
        <w:rPr>
          <w:noProof/>
        </w:rPr>
        <w:t>,</w:t>
      </w:r>
      <w:r w:rsidR="002B47DF" w:rsidRPr="002B47DF">
        <w:t xml:space="preserve"> the greater their risk of many adverse health outcomes, such as </w:t>
      </w:r>
      <w:r w:rsidR="002B47DF" w:rsidRPr="002B47DF">
        <w:rPr>
          <w:noProof/>
        </w:rPr>
        <w:t xml:space="preserve">hospitalizations </w:t>
      </w:r>
      <w:r w:rsidR="002B47DF" w:rsidRPr="002B47DF">
        <w:t xml:space="preserve">and lifetime risk of respiratory disease, chronic obstructive pulmonary </w:t>
      </w:r>
      <w:r w:rsidR="002B47DF" w:rsidRPr="002B47DF">
        <w:rPr>
          <w:noProof/>
        </w:rPr>
        <w:t>disease,</w:t>
      </w:r>
      <w:r w:rsidR="002B47DF" w:rsidRPr="002B47DF">
        <w:t xml:space="preserve"> and lung cancer;</w:t>
      </w:r>
      <w:r w:rsidR="002B47DF" w:rsidRPr="002B47DF">
        <w:rPr>
          <w:rStyle w:val="EndnoteReference"/>
        </w:rPr>
        <w:endnoteReference w:id="17"/>
      </w:r>
      <w:r w:rsidR="00FA5187">
        <w:t xml:space="preserve"> and</w:t>
      </w:r>
    </w:p>
    <w:p w14:paraId="683D066B" w14:textId="77777777" w:rsidR="00977C5F" w:rsidRPr="002B47DF" w:rsidRDefault="00977C5F" w:rsidP="00FA5187">
      <w:pPr>
        <w:spacing w:line="288" w:lineRule="auto"/>
      </w:pPr>
    </w:p>
    <w:p w14:paraId="5877F156" w14:textId="30FC97B1" w:rsidR="002B47DF" w:rsidRPr="002B47DF" w:rsidRDefault="00FA5187" w:rsidP="00FA5187">
      <w:pPr>
        <w:spacing w:line="288" w:lineRule="auto"/>
        <w:rPr>
          <w:noProof/>
          <w:vertAlign w:val="superscript"/>
        </w:rPr>
      </w:pPr>
      <w:r>
        <w:t>WHEREAS,</w:t>
      </w:r>
      <w:r w:rsidR="002B47DF" w:rsidRPr="002B47DF">
        <w:t xml:space="preserve"> studies have shown that young adults between </w:t>
      </w:r>
      <w:r w:rsidR="00BE3367">
        <w:t xml:space="preserve">the </w:t>
      </w:r>
      <w:r w:rsidR="002B47DF" w:rsidRPr="002B47DF">
        <w:t xml:space="preserve">ages </w:t>
      </w:r>
      <w:r w:rsidR="00BE3367">
        <w:t xml:space="preserve">of </w:t>
      </w:r>
      <w:r w:rsidR="002B47DF" w:rsidRPr="002B47DF">
        <w:t xml:space="preserve">18 and 20 are more likely than adults over the age of 21 to purchase tobacco for </w:t>
      </w:r>
      <w:r>
        <w:rPr>
          <w:noProof/>
        </w:rPr>
        <w:t>minors;</w:t>
      </w:r>
      <w:r w:rsidR="002B47DF" w:rsidRPr="002B47DF">
        <w:rPr>
          <w:rStyle w:val="EndnoteReference"/>
          <w:noProof/>
        </w:rPr>
        <w:endnoteReference w:id="18"/>
      </w:r>
      <w:r>
        <w:rPr>
          <w:noProof/>
          <w:vertAlign w:val="superscript"/>
        </w:rPr>
        <w:t>,</w:t>
      </w:r>
      <w:r w:rsidR="002B47DF" w:rsidRPr="002B47DF">
        <w:rPr>
          <w:rStyle w:val="EndnoteReference"/>
          <w:noProof/>
        </w:rPr>
        <w:endnoteReference w:id="19"/>
      </w:r>
      <w:r w:rsidR="002B47DF" w:rsidRPr="002B47DF">
        <w:rPr>
          <w:noProof/>
          <w:vertAlign w:val="superscript"/>
        </w:rPr>
        <w:t xml:space="preserve"> </w:t>
      </w:r>
      <w:r>
        <w:t>and</w:t>
      </w:r>
    </w:p>
    <w:p w14:paraId="7F69E4C0" w14:textId="77777777" w:rsidR="002B47DF" w:rsidRPr="002B47DF" w:rsidRDefault="002B47DF" w:rsidP="00FA5187">
      <w:pPr>
        <w:spacing w:line="288" w:lineRule="auto"/>
        <w:rPr>
          <w:noProof/>
          <w:vertAlign w:val="superscript"/>
        </w:rPr>
      </w:pPr>
    </w:p>
    <w:p w14:paraId="315677EC" w14:textId="28463FC0" w:rsidR="002B47DF" w:rsidRPr="002B47DF" w:rsidRDefault="00FA5187" w:rsidP="00FA5187">
      <w:pPr>
        <w:spacing w:line="288" w:lineRule="auto"/>
      </w:pPr>
      <w:r>
        <w:t>WHEREAS,</w:t>
      </w:r>
      <w:r w:rsidR="002B47DF" w:rsidRPr="002B47DF">
        <w:t xml:space="preserve"> raising the minimum legal age of access </w:t>
      </w:r>
      <w:r w:rsidR="00D47146">
        <w:t xml:space="preserve">for tobacco products </w:t>
      </w:r>
      <w:r w:rsidR="002B47DF" w:rsidRPr="002B47DF">
        <w:t xml:space="preserve">reduces the ability </w:t>
      </w:r>
      <w:r w:rsidR="00BE3367">
        <w:t>of</w:t>
      </w:r>
      <w:r w:rsidR="00BE3367" w:rsidRPr="002B47DF">
        <w:t xml:space="preserve"> </w:t>
      </w:r>
      <w:r w:rsidR="002B47DF" w:rsidRPr="002B47DF">
        <w:t>youth under age 18 to appear legally old enough to buy tobacco products and decreases the probability that nonsmoking youth will have social networks that contain smokers;</w:t>
      </w:r>
      <w:r w:rsidR="002B47DF" w:rsidRPr="002B47DF">
        <w:rPr>
          <w:rStyle w:val="EndnoteReference"/>
        </w:rPr>
        <w:endnoteReference w:id="20"/>
      </w:r>
      <w:r w:rsidR="002B47DF" w:rsidRPr="002B47DF">
        <w:t xml:space="preserve"> </w:t>
      </w:r>
      <w:r>
        <w:t>and</w:t>
      </w:r>
    </w:p>
    <w:p w14:paraId="511BC4B7" w14:textId="77777777" w:rsidR="002B47DF" w:rsidRPr="002B47DF" w:rsidRDefault="002B47DF" w:rsidP="00FA5187">
      <w:pPr>
        <w:spacing w:line="288" w:lineRule="auto"/>
      </w:pPr>
    </w:p>
    <w:p w14:paraId="4FF910E7" w14:textId="1E090BC5" w:rsidR="002B47DF" w:rsidRPr="002B47DF" w:rsidRDefault="00FA5187" w:rsidP="00FA5187">
      <w:pPr>
        <w:spacing w:line="288" w:lineRule="auto"/>
      </w:pPr>
      <w:r>
        <w:t>WHEREAS,</w:t>
      </w:r>
      <w:r w:rsidR="002B47DF" w:rsidRPr="002B47DF">
        <w:t xml:space="preserve"> the Institute of Medicine found that raising the minimum legal age of access to 21 will likely delay initiation and reduce tobacco prevalence across all ages with the largest proportionate reduction in initiation likely occurring among adolescents </w:t>
      </w:r>
      <w:r w:rsidR="00B35704">
        <w:t>between the</w:t>
      </w:r>
      <w:r w:rsidR="00B35704" w:rsidRPr="002B47DF">
        <w:t xml:space="preserve"> </w:t>
      </w:r>
      <w:r w:rsidR="002B47DF" w:rsidRPr="002B47DF">
        <w:t>ages</w:t>
      </w:r>
      <w:r w:rsidR="00B35704">
        <w:t xml:space="preserve"> of</w:t>
      </w:r>
      <w:r w:rsidR="002B47DF" w:rsidRPr="002B47DF">
        <w:t xml:space="preserve"> 15</w:t>
      </w:r>
      <w:r w:rsidR="00B35704">
        <w:t xml:space="preserve"> and </w:t>
      </w:r>
      <w:r w:rsidR="002B47DF" w:rsidRPr="002B47DF">
        <w:t>17;</w:t>
      </w:r>
      <w:r w:rsidR="002B47DF" w:rsidRPr="002B47DF">
        <w:rPr>
          <w:rStyle w:val="EndnoteReference"/>
        </w:rPr>
        <w:endnoteReference w:id="21"/>
      </w:r>
      <w:r w:rsidR="002B47DF" w:rsidRPr="002B47DF">
        <w:t xml:space="preserve"> </w:t>
      </w:r>
      <w:r>
        <w:t>and</w:t>
      </w:r>
    </w:p>
    <w:p w14:paraId="46EEBDED" w14:textId="77777777" w:rsidR="002B47DF" w:rsidRPr="002B47DF" w:rsidRDefault="002B47DF" w:rsidP="00FA5187">
      <w:pPr>
        <w:spacing w:line="288" w:lineRule="auto"/>
      </w:pPr>
    </w:p>
    <w:p w14:paraId="48A52025" w14:textId="775414E1" w:rsidR="002B47DF" w:rsidRPr="002B47DF" w:rsidRDefault="00FA5187" w:rsidP="00FA5187">
      <w:pPr>
        <w:spacing w:line="288" w:lineRule="auto"/>
      </w:pPr>
      <w:r>
        <w:t>WHEREAS,</w:t>
      </w:r>
      <w:r w:rsidR="002B47DF" w:rsidRPr="002B47DF">
        <w:t xml:space="preserve"> most individuals transition from experimental to regular smoking before age </w:t>
      </w:r>
      <w:r>
        <w:rPr>
          <w:noProof/>
        </w:rPr>
        <w:t>21;</w:t>
      </w:r>
      <w:r w:rsidR="002B47DF" w:rsidRPr="002B47DF">
        <w:rPr>
          <w:rStyle w:val="EndnoteReference"/>
          <w:noProof/>
        </w:rPr>
        <w:endnoteReference w:id="22"/>
      </w:r>
      <w:r w:rsidR="002B47DF" w:rsidRPr="002B47DF">
        <w:rPr>
          <w:vertAlign w:val="superscript"/>
        </w:rPr>
        <w:t>,</w:t>
      </w:r>
      <w:r w:rsidR="002B47DF" w:rsidRPr="002B47DF">
        <w:rPr>
          <w:rStyle w:val="EndnoteReference"/>
          <w:noProof/>
        </w:rPr>
        <w:endnoteReference w:id="23"/>
      </w:r>
      <w:r w:rsidR="002B47DF" w:rsidRPr="002B47DF">
        <w:rPr>
          <w:vertAlign w:val="superscript"/>
        </w:rPr>
        <w:t>,</w:t>
      </w:r>
      <w:r w:rsidR="002B47DF" w:rsidRPr="002B47DF">
        <w:rPr>
          <w:rStyle w:val="EndnoteReference"/>
          <w:noProof/>
        </w:rPr>
        <w:endnoteReference w:id="24"/>
      </w:r>
      <w:r w:rsidR="002B47DF" w:rsidRPr="002B47DF">
        <w:rPr>
          <w:noProof/>
        </w:rPr>
        <w:t xml:space="preserve"> </w:t>
      </w:r>
      <w:r>
        <w:rPr>
          <w:noProof/>
        </w:rPr>
        <w:t>and</w:t>
      </w:r>
    </w:p>
    <w:p w14:paraId="5917416A" w14:textId="77777777" w:rsidR="00FA5187" w:rsidRDefault="00FA5187" w:rsidP="00FA5187">
      <w:pPr>
        <w:spacing w:line="288" w:lineRule="auto"/>
      </w:pPr>
    </w:p>
    <w:p w14:paraId="01CF019D" w14:textId="4E4A0323" w:rsidR="002B47DF" w:rsidRPr="002B47DF" w:rsidRDefault="00FA5187" w:rsidP="00FA5187">
      <w:pPr>
        <w:spacing w:line="288" w:lineRule="auto"/>
      </w:pPr>
      <w:r>
        <w:t>WHEREAS,</w:t>
      </w:r>
      <w:r w:rsidR="002B47DF" w:rsidRPr="002B47DF">
        <w:t xml:space="preserve"> tobacco companies target young adults between the ages of 18 </w:t>
      </w:r>
      <w:r w:rsidR="00B35704">
        <w:t>and</w:t>
      </w:r>
      <w:r w:rsidR="00B35704" w:rsidRPr="002B47DF">
        <w:t xml:space="preserve"> </w:t>
      </w:r>
      <w:r w:rsidR="002B47DF" w:rsidRPr="002B47DF">
        <w:t xml:space="preserve">24 to increase the frequency with which </w:t>
      </w:r>
      <w:r w:rsidR="00B35704">
        <w:t>young adults</w:t>
      </w:r>
      <w:r w:rsidR="00B35704" w:rsidRPr="002B47DF">
        <w:t xml:space="preserve"> </w:t>
      </w:r>
      <w:r w:rsidR="002B47DF" w:rsidRPr="002B47DF">
        <w:t>use tobacco products to encourage them to transition into habitual users;</w:t>
      </w:r>
      <w:r w:rsidR="002B47DF" w:rsidRPr="002B47DF">
        <w:rPr>
          <w:rStyle w:val="EndnoteReference"/>
        </w:rPr>
        <w:endnoteReference w:id="25"/>
      </w:r>
      <w:r w:rsidR="002B47DF" w:rsidRPr="002B47DF">
        <w:t xml:space="preserve"> </w:t>
      </w:r>
      <w:r>
        <w:t>and</w:t>
      </w:r>
    </w:p>
    <w:p w14:paraId="40BD584F" w14:textId="77777777" w:rsidR="002B47DF" w:rsidRPr="002B47DF" w:rsidRDefault="002B47DF" w:rsidP="00FA5187">
      <w:pPr>
        <w:spacing w:line="288" w:lineRule="auto"/>
      </w:pPr>
    </w:p>
    <w:p w14:paraId="7D7D9329" w14:textId="78507AFF" w:rsidR="002B47DF" w:rsidRPr="002B47DF" w:rsidRDefault="00FA5187" w:rsidP="00FA5187">
      <w:pPr>
        <w:spacing w:line="288" w:lineRule="auto"/>
      </w:pPr>
      <w:r>
        <w:t xml:space="preserve">WHEREAS, </w:t>
      </w:r>
      <w:r w:rsidR="002B47DF" w:rsidRPr="002B47DF">
        <w:t xml:space="preserve">research has repeatedly found that raising the minimum age of access </w:t>
      </w:r>
      <w:r w:rsidR="00D47146">
        <w:t xml:space="preserve">for tobacco products </w:t>
      </w:r>
      <w:r w:rsidR="002B47DF" w:rsidRPr="002B47DF">
        <w:t>is an effective strategy for reducing tobacco use among youth and young adults as evidenced by</w:t>
      </w:r>
      <w:r w:rsidR="00B35704">
        <w:t xml:space="preserve"> the following</w:t>
      </w:r>
      <w:r w:rsidR="002B47DF" w:rsidRPr="002B47DF">
        <w:t>:</w:t>
      </w:r>
    </w:p>
    <w:p w14:paraId="558395C4" w14:textId="428B91D5" w:rsidR="002B47DF" w:rsidRPr="002B47DF" w:rsidRDefault="002B47DF" w:rsidP="00FA5187">
      <w:pPr>
        <w:pStyle w:val="ListParagraph"/>
        <w:numPr>
          <w:ilvl w:val="0"/>
          <w:numId w:val="9"/>
        </w:numPr>
        <w:spacing w:after="0" w:line="288" w:lineRule="auto"/>
        <w:rPr>
          <w:rFonts w:ascii="Times New Roman" w:hAnsi="Times New Roman" w:cs="Times New Roman"/>
          <w:sz w:val="24"/>
          <w:szCs w:val="24"/>
        </w:rPr>
      </w:pPr>
      <w:r w:rsidRPr="002B47DF">
        <w:rPr>
          <w:rFonts w:ascii="Times New Roman" w:hAnsi="Times New Roman" w:cs="Times New Roman"/>
          <w:sz w:val="24"/>
          <w:szCs w:val="24"/>
        </w:rPr>
        <w:t xml:space="preserve">Research has overwhelmingly demonstrated that minimum legal drinking age laws decreased alcohol consumption rates in the United States, especially among youth and young </w:t>
      </w:r>
      <w:r w:rsidR="00FA5187">
        <w:rPr>
          <w:rFonts w:ascii="Times New Roman" w:hAnsi="Times New Roman" w:cs="Times New Roman"/>
          <w:noProof/>
          <w:sz w:val="24"/>
          <w:szCs w:val="24"/>
        </w:rPr>
        <w:t>adults;</w:t>
      </w:r>
      <w:r w:rsidRPr="002B47DF">
        <w:rPr>
          <w:rStyle w:val="EndnoteReference"/>
          <w:rFonts w:ascii="Times New Roman" w:hAnsi="Times New Roman" w:cs="Times New Roman"/>
          <w:noProof/>
          <w:sz w:val="24"/>
          <w:szCs w:val="24"/>
        </w:rPr>
        <w:endnoteReference w:id="26"/>
      </w:r>
      <w:r w:rsidR="00BE3367">
        <w:rPr>
          <w:rFonts w:ascii="Times New Roman" w:hAnsi="Times New Roman" w:cs="Times New Roman"/>
          <w:sz w:val="24"/>
          <w:szCs w:val="24"/>
        </w:rPr>
        <w:t xml:space="preserve"> </w:t>
      </w:r>
      <w:r w:rsidR="00B35704">
        <w:rPr>
          <w:rFonts w:ascii="Times New Roman" w:hAnsi="Times New Roman" w:cs="Times New Roman"/>
          <w:sz w:val="24"/>
          <w:szCs w:val="24"/>
        </w:rPr>
        <w:t>and</w:t>
      </w:r>
    </w:p>
    <w:p w14:paraId="34155326" w14:textId="7D0FE22B" w:rsidR="002B47DF" w:rsidRPr="002B47DF" w:rsidRDefault="002B47DF" w:rsidP="00FA5187">
      <w:pPr>
        <w:pStyle w:val="ListParagraph"/>
        <w:numPr>
          <w:ilvl w:val="0"/>
          <w:numId w:val="9"/>
        </w:numPr>
        <w:spacing w:after="0" w:line="288" w:lineRule="auto"/>
        <w:rPr>
          <w:rFonts w:ascii="Times New Roman" w:hAnsi="Times New Roman" w:cs="Times New Roman"/>
          <w:sz w:val="24"/>
          <w:szCs w:val="24"/>
        </w:rPr>
      </w:pPr>
      <w:r w:rsidRPr="002B47DF">
        <w:rPr>
          <w:rFonts w:ascii="Times New Roman" w:hAnsi="Times New Roman" w:cs="Times New Roman"/>
          <w:sz w:val="24"/>
          <w:szCs w:val="24"/>
        </w:rPr>
        <w:lastRenderedPageBreak/>
        <w:t xml:space="preserve">An evaluation of </w:t>
      </w:r>
      <w:r w:rsidR="00B35704">
        <w:rPr>
          <w:rFonts w:ascii="Times New Roman" w:hAnsi="Times New Roman" w:cs="Times New Roman"/>
          <w:sz w:val="24"/>
          <w:szCs w:val="24"/>
        </w:rPr>
        <w:t xml:space="preserve">a law in </w:t>
      </w:r>
      <w:r w:rsidRPr="002B47DF">
        <w:rPr>
          <w:rFonts w:ascii="Times New Roman" w:hAnsi="Times New Roman" w:cs="Times New Roman"/>
          <w:sz w:val="24"/>
          <w:szCs w:val="24"/>
        </w:rPr>
        <w:t>Needham, MA</w:t>
      </w:r>
      <w:r w:rsidR="00B35704">
        <w:rPr>
          <w:rFonts w:ascii="Times New Roman" w:hAnsi="Times New Roman" w:cs="Times New Roman"/>
          <w:sz w:val="24"/>
          <w:szCs w:val="24"/>
        </w:rPr>
        <w:t>, that</w:t>
      </w:r>
      <w:r w:rsidRPr="002B47DF">
        <w:rPr>
          <w:rFonts w:ascii="Times New Roman" w:hAnsi="Times New Roman" w:cs="Times New Roman"/>
          <w:sz w:val="24"/>
          <w:szCs w:val="24"/>
        </w:rPr>
        <w:t xml:space="preserve"> rais</w:t>
      </w:r>
      <w:r w:rsidR="00B35704">
        <w:rPr>
          <w:rFonts w:ascii="Times New Roman" w:hAnsi="Times New Roman" w:cs="Times New Roman"/>
          <w:sz w:val="24"/>
          <w:szCs w:val="24"/>
        </w:rPr>
        <w:t>ed</w:t>
      </w:r>
      <w:r w:rsidRPr="002B47DF">
        <w:rPr>
          <w:rFonts w:ascii="Times New Roman" w:hAnsi="Times New Roman" w:cs="Times New Roman"/>
          <w:sz w:val="24"/>
          <w:szCs w:val="24"/>
        </w:rPr>
        <w:t xml:space="preserve"> the minimum tobacco sales age to 21 found that within </w:t>
      </w:r>
      <w:r w:rsidR="00B35704">
        <w:rPr>
          <w:rFonts w:ascii="Times New Roman" w:hAnsi="Times New Roman" w:cs="Times New Roman"/>
          <w:sz w:val="24"/>
          <w:szCs w:val="24"/>
        </w:rPr>
        <w:t>5</w:t>
      </w:r>
      <w:r w:rsidR="00B35704" w:rsidRPr="002B47DF">
        <w:rPr>
          <w:rFonts w:ascii="Times New Roman" w:hAnsi="Times New Roman" w:cs="Times New Roman"/>
          <w:sz w:val="24"/>
          <w:szCs w:val="24"/>
        </w:rPr>
        <w:t xml:space="preserve"> </w:t>
      </w:r>
      <w:r w:rsidRPr="002B47DF">
        <w:rPr>
          <w:rFonts w:ascii="Times New Roman" w:hAnsi="Times New Roman" w:cs="Times New Roman"/>
          <w:sz w:val="24"/>
          <w:szCs w:val="24"/>
        </w:rPr>
        <w:t xml:space="preserve">years the prevalence of youth smoking </w:t>
      </w:r>
      <w:r w:rsidR="00B35704">
        <w:rPr>
          <w:rFonts w:ascii="Times New Roman" w:hAnsi="Times New Roman" w:cs="Times New Roman"/>
          <w:sz w:val="24"/>
          <w:szCs w:val="24"/>
        </w:rPr>
        <w:t xml:space="preserve">had </w:t>
      </w:r>
      <w:r w:rsidRPr="002B47DF">
        <w:rPr>
          <w:rFonts w:ascii="Times New Roman" w:hAnsi="Times New Roman" w:cs="Times New Roman"/>
          <w:sz w:val="24"/>
          <w:szCs w:val="24"/>
        </w:rPr>
        <w:t xml:space="preserve">reduced by nearly half (12.9% in 2006 versus </w:t>
      </w:r>
      <w:r w:rsidR="00FA5187">
        <w:rPr>
          <w:rFonts w:ascii="Times New Roman" w:hAnsi="Times New Roman" w:cs="Times New Roman"/>
          <w:noProof/>
          <w:sz w:val="24"/>
          <w:szCs w:val="24"/>
        </w:rPr>
        <w:t>6.7% in 2010);</w:t>
      </w:r>
      <w:r w:rsidRPr="002B47DF">
        <w:rPr>
          <w:rStyle w:val="EndnoteReference"/>
          <w:rFonts w:ascii="Times New Roman" w:hAnsi="Times New Roman" w:cs="Times New Roman"/>
          <w:noProof/>
          <w:sz w:val="24"/>
          <w:szCs w:val="24"/>
        </w:rPr>
        <w:endnoteReference w:id="27"/>
      </w:r>
      <w:r w:rsidRPr="002B47DF">
        <w:rPr>
          <w:rFonts w:ascii="Times New Roman" w:hAnsi="Times New Roman" w:cs="Times New Roman"/>
          <w:sz w:val="24"/>
          <w:szCs w:val="24"/>
        </w:rPr>
        <w:t xml:space="preserve"> and</w:t>
      </w:r>
    </w:p>
    <w:p w14:paraId="3123B591" w14:textId="5D46901F" w:rsidR="002B47DF" w:rsidRPr="002B47DF" w:rsidRDefault="002B47DF" w:rsidP="00FA5187">
      <w:pPr>
        <w:pStyle w:val="ListParagraph"/>
        <w:numPr>
          <w:ilvl w:val="0"/>
          <w:numId w:val="9"/>
        </w:numPr>
        <w:spacing w:after="0" w:line="288" w:lineRule="auto"/>
        <w:rPr>
          <w:rFonts w:ascii="Times New Roman" w:hAnsi="Times New Roman" w:cs="Times New Roman"/>
          <w:sz w:val="24"/>
          <w:szCs w:val="24"/>
        </w:rPr>
      </w:pPr>
      <w:r w:rsidRPr="002B47DF">
        <w:rPr>
          <w:rFonts w:ascii="Times New Roman" w:hAnsi="Times New Roman" w:cs="Times New Roman"/>
          <w:sz w:val="24"/>
          <w:szCs w:val="24"/>
        </w:rPr>
        <w:t xml:space="preserve">The Institute of Medicine found that a nationwide law raising the minimum age of legal access </w:t>
      </w:r>
      <w:r w:rsidR="00D47146">
        <w:rPr>
          <w:rFonts w:ascii="Times New Roman" w:hAnsi="Times New Roman" w:cs="Times New Roman"/>
          <w:sz w:val="24"/>
          <w:szCs w:val="24"/>
        </w:rPr>
        <w:t xml:space="preserve">for tobacco products </w:t>
      </w:r>
      <w:r w:rsidRPr="002B47DF">
        <w:rPr>
          <w:rFonts w:ascii="Times New Roman" w:hAnsi="Times New Roman" w:cs="Times New Roman"/>
          <w:sz w:val="24"/>
          <w:szCs w:val="24"/>
        </w:rPr>
        <w:t xml:space="preserve">to 21 would save almost </w:t>
      </w:r>
      <w:r w:rsidR="00B35704">
        <w:rPr>
          <w:rFonts w:ascii="Times New Roman" w:hAnsi="Times New Roman" w:cs="Times New Roman"/>
          <w:sz w:val="24"/>
          <w:szCs w:val="24"/>
        </w:rPr>
        <w:t>one-</w:t>
      </w:r>
      <w:r w:rsidRPr="002B47DF">
        <w:rPr>
          <w:rFonts w:ascii="Times New Roman" w:hAnsi="Times New Roman" w:cs="Times New Roman"/>
          <w:sz w:val="24"/>
          <w:szCs w:val="24"/>
        </w:rPr>
        <w:t>quarter of a million lives of people born between 2000 and 2019;</w:t>
      </w:r>
      <w:r w:rsidRPr="002B47DF">
        <w:rPr>
          <w:rStyle w:val="EndnoteReference"/>
          <w:rFonts w:ascii="Times New Roman" w:hAnsi="Times New Roman" w:cs="Times New Roman"/>
          <w:sz w:val="24"/>
          <w:szCs w:val="24"/>
        </w:rPr>
        <w:endnoteReference w:id="28"/>
      </w:r>
      <w:r w:rsidRPr="002B47DF">
        <w:rPr>
          <w:rFonts w:ascii="Times New Roman" w:hAnsi="Times New Roman" w:cs="Times New Roman"/>
          <w:sz w:val="24"/>
          <w:szCs w:val="24"/>
        </w:rPr>
        <w:t xml:space="preserve"> </w:t>
      </w:r>
      <w:r w:rsidR="00FA5187">
        <w:rPr>
          <w:rFonts w:ascii="Times New Roman" w:hAnsi="Times New Roman" w:cs="Times New Roman"/>
          <w:sz w:val="24"/>
          <w:szCs w:val="24"/>
        </w:rPr>
        <w:t>and</w:t>
      </w:r>
    </w:p>
    <w:p w14:paraId="5ED81680" w14:textId="77777777" w:rsidR="000A2633" w:rsidRDefault="000A2633" w:rsidP="00FA5187">
      <w:pPr>
        <w:spacing w:line="288" w:lineRule="auto"/>
        <w:rPr>
          <w:rStyle w:val="CommentReference"/>
          <w:rFonts w:asciiTheme="minorHAnsi" w:eastAsiaTheme="minorHAnsi" w:hAnsiTheme="minorHAnsi" w:cstheme="minorBidi"/>
        </w:rPr>
      </w:pPr>
    </w:p>
    <w:p w14:paraId="5A922869" w14:textId="1C44EE01" w:rsidR="002B47DF" w:rsidRPr="002B47DF" w:rsidRDefault="00FA5187" w:rsidP="00016F13">
      <w:pPr>
        <w:spacing w:line="288" w:lineRule="auto"/>
      </w:pPr>
      <w:r>
        <w:t>WHEREAS,</w:t>
      </w:r>
      <w:r w:rsidR="002B47DF" w:rsidRPr="002B47DF">
        <w:t xml:space="preserve"> as of </w:t>
      </w:r>
      <w:r w:rsidR="00016F13">
        <w:t>September 27, 2016</w:t>
      </w:r>
      <w:r w:rsidR="002B47DF" w:rsidRPr="002B47DF">
        <w:rPr>
          <w:noProof/>
        </w:rPr>
        <w:t>,</w:t>
      </w:r>
      <w:r w:rsidR="002B47DF" w:rsidRPr="002B47DF">
        <w:t xml:space="preserve"> at least </w:t>
      </w:r>
      <w:r w:rsidR="00016F13">
        <w:t>200 jurisdictions in 14</w:t>
      </w:r>
      <w:r w:rsidR="002B47DF" w:rsidRPr="002B47DF">
        <w:t xml:space="preserve"> states have laws raising the minimum legal sale age for tobacco products to </w:t>
      </w:r>
      <w:r>
        <w:rPr>
          <w:noProof/>
        </w:rPr>
        <w:t>21;</w:t>
      </w:r>
      <w:r w:rsidR="002B47DF" w:rsidRPr="002B47DF">
        <w:rPr>
          <w:rStyle w:val="EndnoteReference"/>
          <w:noProof/>
        </w:rPr>
        <w:endnoteReference w:id="29"/>
      </w:r>
      <w:r w:rsidR="002B47DF" w:rsidRPr="002B47DF">
        <w:t xml:space="preserve"> </w:t>
      </w:r>
      <w:r>
        <w:t>and</w:t>
      </w:r>
    </w:p>
    <w:p w14:paraId="234E2A39" w14:textId="77777777" w:rsidR="002B47DF" w:rsidRPr="002B47DF" w:rsidRDefault="002B47DF" w:rsidP="00FA5187">
      <w:pPr>
        <w:spacing w:line="288" w:lineRule="auto"/>
      </w:pPr>
    </w:p>
    <w:p w14:paraId="19DB8156" w14:textId="7713CAD4" w:rsidR="002B47DF" w:rsidRDefault="00FA5187" w:rsidP="00FA5187">
      <w:pPr>
        <w:spacing w:line="288" w:lineRule="auto"/>
        <w:rPr>
          <w:noProof/>
        </w:rPr>
      </w:pPr>
      <w:r>
        <w:t>WHEREAS,</w:t>
      </w:r>
      <w:r w:rsidR="002B47DF" w:rsidRPr="002B47DF">
        <w:t xml:space="preserve"> nationally, 70.5% of people, including 57.8% of people who currently smoke, support raising the minimum age of legal access </w:t>
      </w:r>
      <w:r w:rsidR="00D47146">
        <w:t xml:space="preserve">for tobacco products </w:t>
      </w:r>
      <w:r w:rsidR="002B47DF" w:rsidRPr="002B47DF">
        <w:t xml:space="preserve">to </w:t>
      </w:r>
      <w:r w:rsidR="00D51F9F">
        <w:rPr>
          <w:noProof/>
        </w:rPr>
        <w:t>21;</w:t>
      </w:r>
      <w:r w:rsidR="002B47DF" w:rsidRPr="002B47DF">
        <w:rPr>
          <w:rStyle w:val="EndnoteReference"/>
          <w:noProof/>
        </w:rPr>
        <w:endnoteReference w:id="30"/>
      </w:r>
      <w:r w:rsidR="00D51F9F">
        <w:rPr>
          <w:noProof/>
        </w:rPr>
        <w:t xml:space="preserve"> and</w:t>
      </w:r>
    </w:p>
    <w:p w14:paraId="2EB67DA4" w14:textId="77777777" w:rsidR="00264841" w:rsidRDefault="00264841" w:rsidP="00FA5187">
      <w:pPr>
        <w:spacing w:line="288" w:lineRule="auto"/>
        <w:rPr>
          <w:noProof/>
        </w:rPr>
      </w:pPr>
    </w:p>
    <w:p w14:paraId="29FEDBAA" w14:textId="5AA0206A" w:rsidR="00264841" w:rsidRDefault="00264841" w:rsidP="00FA5187">
      <w:pPr>
        <w:spacing w:line="288" w:lineRule="auto"/>
      </w:pPr>
      <w:r>
        <w:rPr>
          <w:noProof/>
        </w:rPr>
        <w:t xml:space="preserve">NOW THEREFORE, it is the intent </w:t>
      </w:r>
      <w:r>
        <w:t>of the [</w:t>
      </w:r>
      <w:r w:rsidR="0011338E">
        <w:t xml:space="preserve"> </w:t>
      </w:r>
      <w:r w:rsidR="0011338E" w:rsidRPr="00404E99">
        <w:rPr>
          <w:i/>
        </w:rPr>
        <w:t xml:space="preserve">Name of City/Town’s </w:t>
      </w:r>
      <w:r w:rsidR="001024EA">
        <w:rPr>
          <w:i/>
        </w:rPr>
        <w:t>Legislative Body</w:t>
      </w:r>
      <w:r w:rsidR="0011338E">
        <w:rPr>
          <w:i/>
        </w:rPr>
        <w:t xml:space="preserve"> </w:t>
      </w:r>
      <w:r w:rsidRPr="000C109F">
        <w:t>],</w:t>
      </w:r>
      <w:r>
        <w:t xml:space="preserve"> in enacting this Ordinance, to provide for the public</w:t>
      </w:r>
      <w:r w:rsidR="008B6DE4">
        <w:t>’s</w:t>
      </w:r>
      <w:r>
        <w:t xml:space="preserve"> health, safety, and welfare and reduce youth access to Tobacco Products by prohibiting the selling, giving, or furnishing of Tobacco Products or Tobacco Paraphernalia to any </w:t>
      </w:r>
      <w:r w:rsidR="00913E8F">
        <w:t>individual under the age of 21.</w:t>
      </w:r>
    </w:p>
    <w:p w14:paraId="2ACECE07" w14:textId="77777777" w:rsidR="00264841" w:rsidRDefault="00264841" w:rsidP="00264841"/>
    <w:p w14:paraId="5AC29E90" w14:textId="5D909300" w:rsidR="00264841" w:rsidRDefault="00264841" w:rsidP="00FA53E0">
      <w:pPr>
        <w:pStyle w:val="commentsbox"/>
        <w:spacing w:line="260" w:lineRule="exact"/>
        <w:ind w:left="115" w:right="115"/>
      </w:pPr>
      <w:r w:rsidRPr="00FD5E57">
        <w:rPr>
          <w:b/>
          <w:caps/>
        </w:rPr>
        <w:t>comment:</w:t>
      </w:r>
      <w:r>
        <w:t xml:space="preserve"> </w:t>
      </w:r>
      <w:r w:rsidRPr="00BD1AC7">
        <w:t xml:space="preserve">The findings section is part of the ordinance and legislative record, but it usually does not become codified in the municipal code. In addition to serving an educational purpose and building political and popular support for the ordinance, the findings </w:t>
      </w:r>
      <w:r>
        <w:t>can also serve a legal purpose</w:t>
      </w:r>
      <w:r w:rsidR="008B6DE4">
        <w:t>.</w:t>
      </w:r>
      <w:r>
        <w:t xml:space="preserve"> </w:t>
      </w:r>
      <w:r w:rsidR="008B6DE4">
        <w:t>I</w:t>
      </w:r>
      <w:r w:rsidRPr="00BD1AC7">
        <w:t>f the ordinance is challenged in court</w:t>
      </w:r>
      <w:r w:rsidR="008B6DE4">
        <w:t>,</w:t>
      </w:r>
      <w:r w:rsidRPr="00BD1AC7">
        <w:t xml:space="preserve"> the findings are an admissible record of the factual determinations made by the legislative body when considering the legislation.</w:t>
      </w:r>
      <w:r w:rsidR="00BE3367">
        <w:t xml:space="preserve"> </w:t>
      </w:r>
      <w:r w:rsidRPr="00BD1AC7">
        <w:t>Courts generally defer to legislative determinations of factual issues, which often influence legal conclusions.</w:t>
      </w:r>
      <w:r w:rsidR="00BE3367">
        <w:t xml:space="preserve"> </w:t>
      </w:r>
      <w:r>
        <w:t>Your city</w:t>
      </w:r>
      <w:r w:rsidR="008B6DE4">
        <w:t xml:space="preserve"> or </w:t>
      </w:r>
      <w:r>
        <w:t>town</w:t>
      </w:r>
      <w:r w:rsidRPr="00BD1AC7">
        <w:t xml:space="preserve"> may select findings from this list to include in its legislation, along with additional findings about tobacco use among youth and young adults specific to </w:t>
      </w:r>
      <w:r>
        <w:t>your city</w:t>
      </w:r>
      <w:r w:rsidR="008B6DE4">
        <w:t xml:space="preserve"> or </w:t>
      </w:r>
      <w:r>
        <w:t>town</w:t>
      </w:r>
      <w:r w:rsidRPr="00BD1AC7">
        <w:t>.</w:t>
      </w:r>
      <w:r w:rsidR="00BE3367">
        <w:t xml:space="preserve"> </w:t>
      </w:r>
      <w:r w:rsidRPr="00BD1AC7">
        <w:t>Particularly useful are local findings and data that demonstrate the issue to be addressed by the legislation and how the legislation addresses that specific issue.</w:t>
      </w:r>
      <w:r w:rsidR="00BE3367">
        <w:t xml:space="preserve"> </w:t>
      </w:r>
      <w:r w:rsidRPr="00BD1AC7">
        <w:t>Any legal precedent that directly supports the legislation should also be included.</w:t>
      </w:r>
    </w:p>
    <w:p w14:paraId="26CF7834" w14:textId="77777777" w:rsidR="00264841" w:rsidRDefault="00264841"/>
    <w:p w14:paraId="00432428" w14:textId="77777777" w:rsidR="00264841" w:rsidRDefault="00264841"/>
    <w:p w14:paraId="3D187133" w14:textId="77777777" w:rsidR="00010016" w:rsidRDefault="00010016" w:rsidP="00C22496">
      <w:pPr>
        <w:pStyle w:val="BasicParagraph"/>
        <w:rPr>
          <w:b/>
        </w:rPr>
      </w:pPr>
      <w:r>
        <w:rPr>
          <w:b/>
        </w:rPr>
        <w:br w:type="page"/>
      </w:r>
    </w:p>
    <w:p w14:paraId="2A64A155" w14:textId="3A4D8AED" w:rsidR="00C22496" w:rsidRDefault="00C22496" w:rsidP="00C22496">
      <w:pPr>
        <w:pStyle w:val="BasicParagraph"/>
      </w:pPr>
      <w:r>
        <w:rPr>
          <w:b/>
        </w:rPr>
        <w:lastRenderedPageBreak/>
        <w:t>SECTION II.</w:t>
      </w:r>
      <w:r>
        <w:t xml:space="preserve"> [ </w:t>
      </w:r>
      <w:r>
        <w:rPr>
          <w:u w:val="single"/>
        </w:rPr>
        <w:t>Article</w:t>
      </w:r>
      <w:r>
        <w:t xml:space="preserve"> / </w:t>
      </w:r>
      <w:r w:rsidR="000C109F">
        <w:rPr>
          <w:u w:val="double"/>
        </w:rPr>
        <w:t>Chapter</w:t>
      </w:r>
      <w:r>
        <w:t> ] of the [ </w:t>
      </w:r>
      <w:r w:rsidR="001024EA" w:rsidRPr="001024EA">
        <w:rPr>
          <w:i/>
        </w:rPr>
        <w:t>Name of</w:t>
      </w:r>
      <w:r w:rsidR="001024EA">
        <w:t xml:space="preserve"> </w:t>
      </w:r>
      <w:r w:rsidR="0011338E" w:rsidRPr="00404E99">
        <w:rPr>
          <w:i/>
        </w:rPr>
        <w:t xml:space="preserve">City/Town </w:t>
      </w:r>
      <w:r>
        <w:t>] Municipal Code is hereby amended to read as follows:</w:t>
      </w:r>
    </w:p>
    <w:p w14:paraId="35B2E0BE" w14:textId="77777777" w:rsidR="00C22496" w:rsidRPr="003064DB" w:rsidRDefault="00C22496"/>
    <w:p w14:paraId="57BF176C" w14:textId="20A95D2B" w:rsidR="00874E44" w:rsidRPr="003064DB" w:rsidRDefault="00887941" w:rsidP="00874E44">
      <w:pPr>
        <w:pStyle w:val="BasicParagraph"/>
        <w:rPr>
          <w:rFonts w:cs="Times New Roman"/>
          <w:b/>
        </w:rPr>
      </w:pPr>
      <w:r w:rsidRPr="003064DB">
        <w:rPr>
          <w:rFonts w:cs="Times New Roman"/>
          <w:b/>
        </w:rPr>
        <w:t xml:space="preserve">Sec. [ </w:t>
      </w:r>
      <w:r w:rsidRPr="003064DB">
        <w:rPr>
          <w:rFonts w:cs="Times New Roman"/>
          <w:b/>
          <w:u w:val="single"/>
        </w:rPr>
        <w:tab/>
      </w:r>
      <w:r w:rsidRPr="003064DB">
        <w:rPr>
          <w:rFonts w:cs="Times New Roman"/>
          <w:b/>
          <w:u w:val="single"/>
        </w:rPr>
        <w:tab/>
      </w:r>
      <w:r w:rsidRPr="003064DB">
        <w:rPr>
          <w:rFonts w:cs="Times New Roman"/>
          <w:b/>
        </w:rPr>
        <w:t xml:space="preserve"> </w:t>
      </w:r>
      <w:r w:rsidR="00C22496">
        <w:rPr>
          <w:rFonts w:cs="Times New Roman"/>
          <w:b/>
        </w:rPr>
        <w:t>(*1</w:t>
      </w:r>
      <w:r w:rsidRPr="003064DB">
        <w:rPr>
          <w:rFonts w:cs="Times New Roman"/>
          <w:b/>
        </w:rPr>
        <w:t xml:space="preserve">) ]. </w:t>
      </w:r>
      <w:r w:rsidR="00C22496">
        <w:rPr>
          <w:rFonts w:cs="Times New Roman"/>
          <w:b/>
        </w:rPr>
        <w:t>DEFINITIONS</w:t>
      </w:r>
      <w:r w:rsidR="00874E44" w:rsidRPr="003064DB">
        <w:rPr>
          <w:rFonts w:cs="Times New Roman"/>
          <w:b/>
        </w:rPr>
        <w:t>.</w:t>
      </w:r>
      <w:r w:rsidRPr="003064DB">
        <w:rPr>
          <w:rFonts w:cs="Times New Roman"/>
          <w:b/>
        </w:rPr>
        <w:t xml:space="preserve"> </w:t>
      </w:r>
      <w:r w:rsidRPr="003064DB">
        <w:rPr>
          <w:rFonts w:cs="Times New Roman"/>
        </w:rPr>
        <w:t>The following words and p</w:t>
      </w:r>
      <w:r w:rsidR="0013520E">
        <w:rPr>
          <w:rFonts w:cs="Times New Roman"/>
        </w:rPr>
        <w:t>hrases, whenever used in this [</w:t>
      </w:r>
      <w:r w:rsidR="000C109F">
        <w:rPr>
          <w:rFonts w:cs="Times New Roman"/>
        </w:rPr>
        <w:t xml:space="preserve"> </w:t>
      </w:r>
      <w:r w:rsidRPr="003064DB">
        <w:rPr>
          <w:rFonts w:cs="Times New Roman"/>
          <w:u w:val="single"/>
        </w:rPr>
        <w:t>article</w:t>
      </w:r>
      <w:r w:rsidRPr="003064DB">
        <w:rPr>
          <w:rFonts w:cs="Times New Roman"/>
        </w:rPr>
        <w:t xml:space="preserve"> / </w:t>
      </w:r>
      <w:r w:rsidRPr="003064DB">
        <w:rPr>
          <w:rFonts w:cs="Times New Roman"/>
          <w:u w:val="double"/>
        </w:rPr>
        <w:t>chapter</w:t>
      </w:r>
      <w:r w:rsidR="000C109F">
        <w:rPr>
          <w:rFonts w:cs="Times New Roman"/>
        </w:rPr>
        <w:t xml:space="preserve"> ]</w:t>
      </w:r>
      <w:r w:rsidRPr="003064DB">
        <w:rPr>
          <w:rFonts w:cs="Times New Roman"/>
        </w:rPr>
        <w:t>, shall have the meanings defined in this section unless the context clearly requires otherwise:</w:t>
      </w:r>
    </w:p>
    <w:p w14:paraId="58F25D67" w14:textId="77777777" w:rsidR="00874E44" w:rsidRPr="003064DB" w:rsidRDefault="00874E44" w:rsidP="007A3430">
      <w:pPr>
        <w:pStyle w:val="NoSpacing"/>
      </w:pPr>
    </w:p>
    <w:p w14:paraId="64F62A15" w14:textId="10CDD26C" w:rsidR="00874E44" w:rsidRPr="003064DB" w:rsidRDefault="00874E44" w:rsidP="00C930FE">
      <w:pPr>
        <w:pStyle w:val="NoSpacing"/>
        <w:numPr>
          <w:ilvl w:val="0"/>
          <w:numId w:val="2"/>
        </w:numPr>
        <w:spacing w:line="288" w:lineRule="auto"/>
      </w:pPr>
      <w:r w:rsidRPr="003064DB">
        <w:t>“Person”</w:t>
      </w:r>
      <w:r w:rsidR="002F7AFC">
        <w:t xml:space="preserve"> means </w:t>
      </w:r>
      <w:r w:rsidR="00D16C62">
        <w:t>an</w:t>
      </w:r>
      <w:r w:rsidR="002F7AFC">
        <w:t xml:space="preserve"> individual, partnership, corporation, limited liability company, limited liability partnership, </w:t>
      </w:r>
      <w:r w:rsidR="00D16C62">
        <w:t xml:space="preserve">joint stock association, </w:t>
      </w:r>
      <w:r w:rsidR="002F7AFC">
        <w:t xml:space="preserve">association, </w:t>
      </w:r>
      <w:r w:rsidR="00D16C62">
        <w:t xml:space="preserve">organization, </w:t>
      </w:r>
      <w:r w:rsidR="002F7AFC">
        <w:t>or any other legal or commercial entity</w:t>
      </w:r>
      <w:r w:rsidR="00887941" w:rsidRPr="003064DB">
        <w:t>.</w:t>
      </w:r>
    </w:p>
    <w:p w14:paraId="52B95686" w14:textId="77777777" w:rsidR="00874E44" w:rsidRDefault="00874E44" w:rsidP="00874E44">
      <w:pPr>
        <w:pStyle w:val="NoSpacing"/>
        <w:ind w:left="720"/>
      </w:pPr>
    </w:p>
    <w:p w14:paraId="639D4BEB" w14:textId="5E7895BD" w:rsidR="00975C57" w:rsidRDefault="00975C57" w:rsidP="00FA53E0">
      <w:pPr>
        <w:pStyle w:val="commentsbox"/>
        <w:spacing w:line="260" w:lineRule="exact"/>
        <w:ind w:left="994" w:right="115"/>
      </w:pPr>
      <w:r w:rsidRPr="00FD5E57">
        <w:rPr>
          <w:b/>
          <w:caps/>
        </w:rPr>
        <w:t>comment:</w:t>
      </w:r>
      <w:r>
        <w:t xml:space="preserve"> </w:t>
      </w:r>
      <w:r w:rsidR="00D47146">
        <w:t>E</w:t>
      </w:r>
      <w:r w:rsidR="006578D8">
        <w:t>xisting law</w:t>
      </w:r>
      <w:r w:rsidR="00D47146">
        <w:t>(s)</w:t>
      </w:r>
      <w:r w:rsidR="006578D8">
        <w:t xml:space="preserve"> in your </w:t>
      </w:r>
      <w:r>
        <w:t>city or town may</w:t>
      </w:r>
      <w:r w:rsidR="006578D8">
        <w:t xml:space="preserve"> already</w:t>
      </w:r>
      <w:r>
        <w:t xml:space="preserve"> contain a definition of </w:t>
      </w:r>
      <w:r>
        <w:rPr>
          <w:rFonts w:ascii="Times New Roman" w:hAnsi="Times New Roman"/>
        </w:rPr>
        <w:t>“</w:t>
      </w:r>
      <w:r w:rsidR="00D47146">
        <w:t>P</w:t>
      </w:r>
      <w:r w:rsidR="00D16C62">
        <w:t>erson</w:t>
      </w:r>
      <w:r w:rsidR="00F618B1">
        <w:t>,</w:t>
      </w:r>
      <w:r>
        <w:rPr>
          <w:rFonts w:ascii="Times New Roman" w:hAnsi="Times New Roman"/>
        </w:rPr>
        <w:t>”</w:t>
      </w:r>
      <w:r w:rsidR="00D16C62">
        <w:t xml:space="preserve"> </w:t>
      </w:r>
      <w:r>
        <w:t>and if so, the definition provided here can be omitted.</w:t>
      </w:r>
    </w:p>
    <w:p w14:paraId="2476705B" w14:textId="77777777" w:rsidR="00975C57" w:rsidRPr="003064DB" w:rsidRDefault="00975C57" w:rsidP="00874E44">
      <w:pPr>
        <w:pStyle w:val="NoSpacing"/>
        <w:ind w:left="720"/>
      </w:pPr>
    </w:p>
    <w:p w14:paraId="6EC121CE" w14:textId="77777777" w:rsidR="00874E44" w:rsidRPr="003064DB" w:rsidRDefault="00887941" w:rsidP="00C930FE">
      <w:pPr>
        <w:pStyle w:val="NoSpacing"/>
        <w:numPr>
          <w:ilvl w:val="0"/>
          <w:numId w:val="2"/>
        </w:numPr>
        <w:spacing w:line="288" w:lineRule="auto"/>
      </w:pPr>
      <w:r w:rsidRPr="003064DB">
        <w:t>“Tobacco P</w:t>
      </w:r>
      <w:r w:rsidR="00874E44" w:rsidRPr="003064DB">
        <w:t>araphernalia” means any item designed or marketed for the consumption, use, or preparation of Tobacco Products.</w:t>
      </w:r>
    </w:p>
    <w:p w14:paraId="023AD85F" w14:textId="77777777" w:rsidR="00874E44" w:rsidRPr="003064DB" w:rsidRDefault="00874E44" w:rsidP="00C930FE">
      <w:pPr>
        <w:pStyle w:val="NoSpacing"/>
        <w:spacing w:line="288" w:lineRule="auto"/>
        <w:ind w:left="720"/>
      </w:pPr>
    </w:p>
    <w:p w14:paraId="268B63CB" w14:textId="77777777" w:rsidR="00874E44" w:rsidRPr="003064DB" w:rsidRDefault="00887941" w:rsidP="00C930FE">
      <w:pPr>
        <w:pStyle w:val="NoSpacing"/>
        <w:numPr>
          <w:ilvl w:val="0"/>
          <w:numId w:val="2"/>
        </w:numPr>
        <w:spacing w:line="288" w:lineRule="auto"/>
      </w:pPr>
      <w:r w:rsidRPr="003064DB">
        <w:t xml:space="preserve"> “Tobacco P</w:t>
      </w:r>
      <w:r w:rsidR="00874E44" w:rsidRPr="003064DB">
        <w:t xml:space="preserve">roduct” means </w:t>
      </w:r>
    </w:p>
    <w:p w14:paraId="4C802DD3" w14:textId="54DA056F" w:rsidR="00874E44" w:rsidRPr="003064DB" w:rsidRDefault="00874E44" w:rsidP="00C930FE">
      <w:pPr>
        <w:pStyle w:val="NoSpacing"/>
        <w:numPr>
          <w:ilvl w:val="1"/>
          <w:numId w:val="2"/>
        </w:numPr>
        <w:spacing w:line="288" w:lineRule="auto"/>
      </w:pPr>
      <w:r w:rsidRPr="003064DB">
        <w:t>Any product containing, made</w:t>
      </w:r>
      <w:r w:rsidR="00F618B1">
        <w:t xml:space="preserve"> from</w:t>
      </w:r>
      <w:r w:rsidRPr="003064DB">
        <w:t>, or derived from tobacco or nicotine that is intended for human consumption, whether smoked, heated, chewed, absorbed, dissolved, inhaled, snorted, sniffed, or ingested by any other means, including, but not limited to</w:t>
      </w:r>
      <w:r w:rsidR="00F618B1">
        <w:t>,</w:t>
      </w:r>
      <w:r w:rsidRPr="003064DB">
        <w:t xml:space="preserve"> cigarettes, cigars, little cigars, chewing tobacco, pipe tobacco, snuff; and </w:t>
      </w:r>
    </w:p>
    <w:p w14:paraId="6C6AE8A4" w14:textId="7A097DB0" w:rsidR="00874E44" w:rsidRPr="003064DB" w:rsidRDefault="00874E44" w:rsidP="00C930FE">
      <w:pPr>
        <w:pStyle w:val="NoSpacing"/>
        <w:numPr>
          <w:ilvl w:val="1"/>
          <w:numId w:val="2"/>
        </w:numPr>
        <w:spacing w:line="288" w:lineRule="auto"/>
      </w:pPr>
      <w:r w:rsidRPr="003064DB">
        <w:t>Any electronic device that delivers nicotine or other substances to the person inhaling from the device, including, but not limited to</w:t>
      </w:r>
      <w:r w:rsidR="00F618B1">
        <w:t>,</w:t>
      </w:r>
      <w:r w:rsidRPr="003064DB">
        <w:t xml:space="preserve"> an electronic cigarette, </w:t>
      </w:r>
      <w:r w:rsidR="00B52F69">
        <w:t xml:space="preserve">electronic </w:t>
      </w:r>
      <w:r w:rsidRPr="003064DB">
        <w:t xml:space="preserve">cigar, </w:t>
      </w:r>
      <w:r w:rsidR="00B52F69">
        <w:t xml:space="preserve">electronic </w:t>
      </w:r>
      <w:r w:rsidRPr="003064DB">
        <w:t xml:space="preserve">pipe, or </w:t>
      </w:r>
      <w:r w:rsidR="00B52F69">
        <w:t xml:space="preserve">electronic </w:t>
      </w:r>
      <w:r w:rsidRPr="003064DB">
        <w:t>hookah.</w:t>
      </w:r>
    </w:p>
    <w:p w14:paraId="5C6BD87B" w14:textId="2F44CDD8" w:rsidR="00874E44" w:rsidRPr="003064DB" w:rsidRDefault="00874E44" w:rsidP="00C930FE">
      <w:pPr>
        <w:pStyle w:val="NoSpacing"/>
        <w:numPr>
          <w:ilvl w:val="1"/>
          <w:numId w:val="2"/>
        </w:numPr>
        <w:spacing w:line="288" w:lineRule="auto"/>
      </w:pPr>
      <w:r w:rsidRPr="003064DB">
        <w:t>Notwithstanding any provision of subsections (1) and (2) to the contrary, “tobacco product” includes any component, part, or accessory of a tobacco product, whether or not sold separately.</w:t>
      </w:r>
      <w:r w:rsidR="00BE3367">
        <w:t xml:space="preserve"> </w:t>
      </w:r>
      <w:r w:rsidRPr="003064DB">
        <w:t>“Tobacco product” does not include any product that has been approved by the United States Food and Drug Administration for sale as a tobacco cessation product or for other therapeutic purposes where such product is marketed and sold solely for such an approved purpose.</w:t>
      </w:r>
      <w:r w:rsidR="00BE3367">
        <w:t xml:space="preserve"> </w:t>
      </w:r>
    </w:p>
    <w:p w14:paraId="305CDF18" w14:textId="77777777" w:rsidR="00975C57" w:rsidRDefault="00975C57" w:rsidP="00975C57">
      <w:pPr>
        <w:pStyle w:val="LevelA"/>
        <w:widowControl/>
        <w:suppressAutoHyphens/>
        <w:ind w:left="0" w:firstLine="0"/>
      </w:pPr>
    </w:p>
    <w:p w14:paraId="75E77195" w14:textId="77A926DC" w:rsidR="00975C57" w:rsidRDefault="00975C57" w:rsidP="00FA53E0">
      <w:pPr>
        <w:pStyle w:val="commentsbox"/>
        <w:spacing w:line="260" w:lineRule="exact"/>
        <w:ind w:left="994" w:right="115"/>
      </w:pPr>
      <w:r w:rsidRPr="00FD5E57">
        <w:rPr>
          <w:b/>
          <w:caps/>
        </w:rPr>
        <w:t>comment:</w:t>
      </w:r>
      <w:r>
        <w:t xml:space="preserve"> This definition is written broadly to include nonconventional tobacco and nicotine products, such as electronic cigarettes, nicotine gel, and nicotine lollipops. The definition also includes electronic cigarettes that do not contain nicotine. There is an exception for FDA-approved cessation products intended to benefit public health (e.g., nicotine patches and other nicotine cessation products). </w:t>
      </w:r>
    </w:p>
    <w:p w14:paraId="4AFD677A" w14:textId="77777777" w:rsidR="00975C57" w:rsidRPr="003064DB" w:rsidRDefault="00975C57" w:rsidP="00975C57">
      <w:pPr>
        <w:pStyle w:val="NoSpacing"/>
      </w:pPr>
    </w:p>
    <w:p w14:paraId="76778105" w14:textId="46077F6E" w:rsidR="00887941" w:rsidRDefault="00887941" w:rsidP="00C930FE">
      <w:pPr>
        <w:pStyle w:val="NoSpacing"/>
        <w:numPr>
          <w:ilvl w:val="0"/>
          <w:numId w:val="2"/>
        </w:numPr>
        <w:spacing w:line="288" w:lineRule="auto"/>
      </w:pPr>
      <w:r w:rsidRPr="003064DB">
        <w:lastRenderedPageBreak/>
        <w:t xml:space="preserve">“Tobacco Retailer” means any Person who sells, offers for sale, or </w:t>
      </w:r>
      <w:r w:rsidR="00D47146">
        <w:t>exchanges</w:t>
      </w:r>
      <w:r w:rsidRPr="003064DB">
        <w:t xml:space="preserve"> or offers to exchange for any form of consideration tobacco, Tobacco Products or Tobacco Paraphernalia.</w:t>
      </w:r>
    </w:p>
    <w:p w14:paraId="151B3879" w14:textId="77777777" w:rsidR="002B47DF" w:rsidRPr="003064DB" w:rsidRDefault="002B47DF" w:rsidP="002B47DF">
      <w:pPr>
        <w:pStyle w:val="NoSpacing"/>
        <w:ind w:left="720"/>
      </w:pPr>
    </w:p>
    <w:p w14:paraId="3B4B448E" w14:textId="2090EF5E" w:rsidR="00887941" w:rsidRPr="00F416A9" w:rsidRDefault="00887941" w:rsidP="00F416A9">
      <w:pPr>
        <w:spacing w:after="160" w:line="288" w:lineRule="auto"/>
        <w:rPr>
          <w:b/>
        </w:rPr>
      </w:pPr>
      <w:r w:rsidRPr="003064DB">
        <w:rPr>
          <w:b/>
        </w:rPr>
        <w:t xml:space="preserve">Sec. [ </w:t>
      </w:r>
      <w:r w:rsidRPr="003064DB">
        <w:rPr>
          <w:b/>
          <w:u w:val="single"/>
        </w:rPr>
        <w:tab/>
      </w:r>
      <w:r w:rsidRPr="003064DB">
        <w:rPr>
          <w:b/>
          <w:u w:val="single"/>
        </w:rPr>
        <w:tab/>
      </w:r>
      <w:r w:rsidRPr="003064DB">
        <w:rPr>
          <w:b/>
        </w:rPr>
        <w:t xml:space="preserve"> </w:t>
      </w:r>
      <w:r w:rsidR="00C22496">
        <w:rPr>
          <w:b/>
        </w:rPr>
        <w:t>(*2</w:t>
      </w:r>
      <w:r w:rsidRPr="003064DB">
        <w:rPr>
          <w:b/>
        </w:rPr>
        <w:t xml:space="preserve">) ]. </w:t>
      </w:r>
      <w:r w:rsidRPr="00C22496">
        <w:rPr>
          <w:rFonts w:ascii="Times New Roman Bold" w:hAnsi="Times New Roman Bold"/>
          <w:b/>
          <w:caps/>
        </w:rPr>
        <w:t xml:space="preserve">Requirements and prohibitions applicable to Tobacco Product </w:t>
      </w:r>
      <w:r w:rsidR="00975C57" w:rsidRPr="00C22496">
        <w:rPr>
          <w:rFonts w:ascii="Times New Roman Bold" w:hAnsi="Times New Roman Bold"/>
          <w:b/>
          <w:caps/>
        </w:rPr>
        <w:t>and Tobacco Paraphernalia s</w:t>
      </w:r>
      <w:r w:rsidRPr="00C22496">
        <w:rPr>
          <w:rFonts w:ascii="Times New Roman Bold" w:hAnsi="Times New Roman Bold"/>
          <w:b/>
          <w:caps/>
        </w:rPr>
        <w:t>ales</w:t>
      </w:r>
    </w:p>
    <w:p w14:paraId="5191C28B" w14:textId="19C8E844" w:rsidR="0038111C" w:rsidRPr="003064DB" w:rsidRDefault="0017360E" w:rsidP="00C930FE">
      <w:pPr>
        <w:pStyle w:val="ListParagraph"/>
        <w:numPr>
          <w:ilvl w:val="0"/>
          <w:numId w:val="4"/>
        </w:numPr>
        <w:spacing w:line="288" w:lineRule="auto"/>
        <w:rPr>
          <w:rFonts w:ascii="Times New Roman" w:hAnsi="Times New Roman" w:cs="Times New Roman"/>
          <w:sz w:val="24"/>
          <w:szCs w:val="24"/>
        </w:rPr>
      </w:pPr>
      <w:r w:rsidRPr="003064DB">
        <w:rPr>
          <w:rFonts w:ascii="Times New Roman" w:hAnsi="Times New Roman" w:cs="Times New Roman"/>
          <w:sz w:val="24"/>
          <w:szCs w:val="24"/>
        </w:rPr>
        <w:t>A Person shall not sell, give, or furnish any Tobacco Product</w:t>
      </w:r>
      <w:r w:rsidR="00B50474">
        <w:rPr>
          <w:rFonts w:ascii="Times New Roman" w:hAnsi="Times New Roman" w:cs="Times New Roman"/>
          <w:sz w:val="24"/>
          <w:szCs w:val="24"/>
        </w:rPr>
        <w:t xml:space="preserve"> or Tobacco Paraphernalia to any individual </w:t>
      </w:r>
      <w:r w:rsidRPr="003064DB">
        <w:rPr>
          <w:rFonts w:ascii="Times New Roman" w:hAnsi="Times New Roman" w:cs="Times New Roman"/>
          <w:sz w:val="24"/>
          <w:szCs w:val="24"/>
        </w:rPr>
        <w:t>under 21 years of age.</w:t>
      </w:r>
    </w:p>
    <w:p w14:paraId="6C2C2CC6" w14:textId="35C9FA37" w:rsidR="00626E76" w:rsidRDefault="00626E76" w:rsidP="00490C0A">
      <w:pPr>
        <w:pStyle w:val="commentsbox"/>
        <w:spacing w:line="260" w:lineRule="exact"/>
        <w:ind w:left="720" w:right="115"/>
      </w:pPr>
      <w:r w:rsidRPr="00FD5E57">
        <w:rPr>
          <w:b/>
          <w:caps/>
        </w:rPr>
        <w:t>comment:</w:t>
      </w:r>
      <w:r>
        <w:t xml:space="preserve"> This is the primary operative section of the ordinance. It prohibits any individual or business from selling, giving, or furnishing a Tobacco Product or Tobacco Paraphernalia to any individual under age 21. This provision is broadly worded to include not only retail sales but also any exchange or distribution of Tobacco Products and Tobacco Paraphernalia. </w:t>
      </w:r>
      <w:r w:rsidR="00F618B1">
        <w:t>H</w:t>
      </w:r>
      <w:r>
        <w:t xml:space="preserve">owever, </w:t>
      </w:r>
      <w:r w:rsidR="00F618B1">
        <w:t xml:space="preserve">it’s important to note that </w:t>
      </w:r>
      <w:r>
        <w:t>this Model Ordinance imposes penalties only on Tobacco Retailers who violate the ordinance’s requirements and prohibitions.</w:t>
      </w:r>
    </w:p>
    <w:p w14:paraId="5FE128DC" w14:textId="77777777" w:rsidR="0017360E" w:rsidRPr="003064DB" w:rsidRDefault="0017360E" w:rsidP="0017360E">
      <w:pPr>
        <w:pStyle w:val="ListParagraph"/>
        <w:rPr>
          <w:rFonts w:ascii="Times New Roman" w:hAnsi="Times New Roman" w:cs="Times New Roman"/>
          <w:sz w:val="24"/>
          <w:szCs w:val="24"/>
        </w:rPr>
      </w:pPr>
    </w:p>
    <w:p w14:paraId="2DCBC4D3" w14:textId="53691C9A" w:rsidR="00C70603" w:rsidRPr="00F416A9" w:rsidRDefault="003064DB" w:rsidP="00F416A9">
      <w:pPr>
        <w:pStyle w:val="ListParagraph"/>
        <w:numPr>
          <w:ilvl w:val="0"/>
          <w:numId w:val="4"/>
        </w:numPr>
        <w:spacing w:line="288" w:lineRule="auto"/>
        <w:rPr>
          <w:rFonts w:ascii="Times New Roman" w:hAnsi="Times New Roman" w:cs="Times New Roman"/>
          <w:sz w:val="24"/>
          <w:szCs w:val="24"/>
        </w:rPr>
      </w:pPr>
      <w:r>
        <w:rPr>
          <w:rFonts w:ascii="Times New Roman" w:hAnsi="Times New Roman" w:cs="Times New Roman"/>
          <w:sz w:val="24"/>
          <w:szCs w:val="24"/>
        </w:rPr>
        <w:t xml:space="preserve">A Tobacco Retailer </w:t>
      </w:r>
      <w:r w:rsidR="00975C57">
        <w:rPr>
          <w:rFonts w:ascii="Times New Roman" w:hAnsi="Times New Roman" w:cs="Times New Roman"/>
          <w:sz w:val="24"/>
          <w:szCs w:val="24"/>
        </w:rPr>
        <w:t xml:space="preserve">shall check the identification of Tobacco Product or Tobacco Paraphernalia purchasers to establish the age of the purchaser, if the purchaser reasonably appears to be under </w:t>
      </w:r>
      <w:r w:rsidR="00016F13">
        <w:rPr>
          <w:rFonts w:ascii="Times New Roman" w:hAnsi="Times New Roman" w:cs="Times New Roman"/>
          <w:sz w:val="24"/>
          <w:szCs w:val="24"/>
        </w:rPr>
        <w:t>27</w:t>
      </w:r>
      <w:r w:rsidR="00BA0E38">
        <w:rPr>
          <w:rFonts w:ascii="Times New Roman" w:hAnsi="Times New Roman" w:cs="Times New Roman"/>
          <w:sz w:val="24"/>
          <w:szCs w:val="24"/>
        </w:rPr>
        <w:t xml:space="preserve"> </w:t>
      </w:r>
      <w:r w:rsidR="00975C57">
        <w:rPr>
          <w:rFonts w:ascii="Times New Roman" w:hAnsi="Times New Roman" w:cs="Times New Roman"/>
          <w:sz w:val="24"/>
          <w:szCs w:val="24"/>
        </w:rPr>
        <w:t>years of age.</w:t>
      </w:r>
    </w:p>
    <w:p w14:paraId="5B55B8E7" w14:textId="027B2853" w:rsidR="00C70603" w:rsidRDefault="00C70603" w:rsidP="00490C0A">
      <w:pPr>
        <w:pStyle w:val="commentsbox"/>
        <w:spacing w:line="260" w:lineRule="exact"/>
        <w:ind w:left="720" w:right="115"/>
      </w:pPr>
      <w:r w:rsidRPr="00FD5E57">
        <w:rPr>
          <w:b/>
          <w:caps/>
        </w:rPr>
        <w:t>comment:</w:t>
      </w:r>
      <w:r>
        <w:t xml:space="preserve"> Federal law requires persons selling tobacco products to check the identification of any individual who appears</w:t>
      </w:r>
      <w:r w:rsidR="005822CE">
        <w:t xml:space="preserve"> to be</w:t>
      </w:r>
      <w:r>
        <w:t xml:space="preserve"> under the age of 27. </w:t>
      </w:r>
      <w:r w:rsidR="0034185F">
        <w:t xml:space="preserve">21 C.F.R. §§ 1140.14(a)(2), (b)(2). </w:t>
      </w:r>
      <w:r>
        <w:t>However, states can enact requirements that are stricter than federal law.</w:t>
      </w:r>
      <w:r w:rsidR="0034185F">
        <w:t xml:space="preserve"> 21 U.S.C. § 387p.</w:t>
      </w:r>
      <w:r>
        <w:t xml:space="preserve"> </w:t>
      </w:r>
      <w:r w:rsidR="0034185F">
        <w:t>Therefore, l</w:t>
      </w:r>
      <w:r>
        <w:t>ocalities may choose to set this requirement at age 27</w:t>
      </w:r>
      <w:r w:rsidR="00D53D1C">
        <w:t xml:space="preserve"> or </w:t>
      </w:r>
      <w:r w:rsidR="005822CE">
        <w:t>older</w:t>
      </w:r>
      <w:r>
        <w:t>.</w:t>
      </w:r>
    </w:p>
    <w:p w14:paraId="53AE2888" w14:textId="77777777" w:rsidR="00C70603" w:rsidRPr="00C70603" w:rsidRDefault="00C70603" w:rsidP="00C70603"/>
    <w:p w14:paraId="6A85023B" w14:textId="395E88A7" w:rsidR="00B50474" w:rsidRDefault="008B3CE1" w:rsidP="00F416A9">
      <w:pPr>
        <w:pStyle w:val="ListParagraph"/>
        <w:numPr>
          <w:ilvl w:val="0"/>
          <w:numId w:val="4"/>
        </w:numPr>
        <w:spacing w:line="288" w:lineRule="auto"/>
        <w:rPr>
          <w:rFonts w:ascii="Times New Roman" w:hAnsi="Times New Roman" w:cs="Times New Roman"/>
          <w:sz w:val="24"/>
          <w:szCs w:val="24"/>
        </w:rPr>
      </w:pPr>
      <w:r>
        <w:rPr>
          <w:rFonts w:ascii="Times New Roman" w:hAnsi="Times New Roman" w:cs="Times New Roman"/>
          <w:sz w:val="24"/>
          <w:szCs w:val="24"/>
        </w:rPr>
        <w:t>A Tobacco Retailer shall post the sign</w:t>
      </w:r>
      <w:r w:rsidR="002F7AFC">
        <w:rPr>
          <w:rFonts w:ascii="Times New Roman" w:hAnsi="Times New Roman" w:cs="Times New Roman"/>
          <w:sz w:val="24"/>
          <w:szCs w:val="24"/>
        </w:rPr>
        <w:t>(s)</w:t>
      </w:r>
      <w:r>
        <w:rPr>
          <w:rFonts w:ascii="Times New Roman" w:hAnsi="Times New Roman" w:cs="Times New Roman"/>
          <w:sz w:val="24"/>
          <w:szCs w:val="24"/>
        </w:rPr>
        <w:t xml:space="preserve"> required by </w:t>
      </w:r>
      <w:r w:rsidR="002F7AFC">
        <w:rPr>
          <w:rFonts w:ascii="Times New Roman" w:hAnsi="Times New Roman" w:cs="Times New Roman"/>
          <w:sz w:val="24"/>
          <w:szCs w:val="24"/>
        </w:rPr>
        <w:t xml:space="preserve">Chapter </w:t>
      </w:r>
      <w:r>
        <w:rPr>
          <w:rFonts w:ascii="Times New Roman" w:hAnsi="Times New Roman" w:cs="Times New Roman"/>
          <w:sz w:val="24"/>
          <w:szCs w:val="24"/>
        </w:rPr>
        <w:t>321 of the Public Laws of 1996 as amended (</w:t>
      </w:r>
      <w:r w:rsidR="002F7AFC">
        <w:rPr>
          <w:rFonts w:ascii="Times New Roman" w:hAnsi="Times New Roman" w:cs="Times New Roman"/>
          <w:sz w:val="24"/>
          <w:szCs w:val="24"/>
        </w:rPr>
        <w:t>R.I. Gen. Laws § 11-9-13 et seq.).</w:t>
      </w:r>
    </w:p>
    <w:p w14:paraId="7AAD3253" w14:textId="77777777" w:rsidR="00C22496" w:rsidRPr="00B50474" w:rsidRDefault="00C22496" w:rsidP="00C22496">
      <w:pPr>
        <w:pStyle w:val="ListParagraph"/>
        <w:spacing w:line="288" w:lineRule="auto"/>
        <w:rPr>
          <w:rFonts w:ascii="Times New Roman" w:hAnsi="Times New Roman" w:cs="Times New Roman"/>
          <w:sz w:val="24"/>
          <w:szCs w:val="24"/>
        </w:rPr>
      </w:pPr>
    </w:p>
    <w:p w14:paraId="7B0E66B2" w14:textId="301C2312" w:rsidR="0017360E" w:rsidRPr="003064DB" w:rsidRDefault="0017360E" w:rsidP="00F416A9">
      <w:pPr>
        <w:pStyle w:val="ListParagraph"/>
        <w:numPr>
          <w:ilvl w:val="0"/>
          <w:numId w:val="4"/>
        </w:numPr>
        <w:spacing w:line="288" w:lineRule="auto"/>
        <w:rPr>
          <w:rFonts w:ascii="Times New Roman" w:hAnsi="Times New Roman" w:cs="Times New Roman"/>
          <w:sz w:val="24"/>
          <w:szCs w:val="24"/>
        </w:rPr>
      </w:pPr>
      <w:r w:rsidRPr="003064DB">
        <w:rPr>
          <w:rFonts w:ascii="Times New Roman" w:hAnsi="Times New Roman" w:cs="Times New Roman"/>
          <w:sz w:val="24"/>
          <w:szCs w:val="24"/>
        </w:rPr>
        <w:t>A</w:t>
      </w:r>
      <w:r w:rsidR="00B50474">
        <w:rPr>
          <w:rFonts w:ascii="Times New Roman" w:hAnsi="Times New Roman" w:cs="Times New Roman"/>
          <w:sz w:val="24"/>
          <w:szCs w:val="24"/>
        </w:rPr>
        <w:t xml:space="preserve"> Tobacco Retailer shall post </w:t>
      </w:r>
      <w:r w:rsidRPr="003064DB">
        <w:rPr>
          <w:rFonts w:ascii="Times New Roman" w:hAnsi="Times New Roman" w:cs="Times New Roman"/>
          <w:sz w:val="24"/>
          <w:szCs w:val="24"/>
        </w:rPr>
        <w:t>sign</w:t>
      </w:r>
      <w:r w:rsidR="00B50474">
        <w:rPr>
          <w:rFonts w:ascii="Times New Roman" w:hAnsi="Times New Roman" w:cs="Times New Roman"/>
          <w:sz w:val="24"/>
          <w:szCs w:val="24"/>
        </w:rPr>
        <w:t>(s)</w:t>
      </w:r>
      <w:r w:rsidRPr="003064DB">
        <w:rPr>
          <w:rFonts w:ascii="Times New Roman" w:hAnsi="Times New Roman" w:cs="Times New Roman"/>
          <w:sz w:val="24"/>
          <w:szCs w:val="24"/>
        </w:rPr>
        <w:t xml:space="preserve"> adjacent to the sign</w:t>
      </w:r>
      <w:r w:rsidR="00B50474">
        <w:rPr>
          <w:rFonts w:ascii="Times New Roman" w:hAnsi="Times New Roman" w:cs="Times New Roman"/>
          <w:sz w:val="24"/>
          <w:szCs w:val="24"/>
        </w:rPr>
        <w:t>(s)</w:t>
      </w:r>
      <w:r w:rsidRPr="003064DB">
        <w:rPr>
          <w:rFonts w:ascii="Times New Roman" w:hAnsi="Times New Roman" w:cs="Times New Roman"/>
          <w:sz w:val="24"/>
          <w:szCs w:val="24"/>
        </w:rPr>
        <w:t xml:space="preserve"> required by </w:t>
      </w:r>
      <w:r w:rsidR="002F7AFC">
        <w:rPr>
          <w:rFonts w:ascii="Times New Roman" w:hAnsi="Times New Roman" w:cs="Times New Roman"/>
          <w:sz w:val="24"/>
          <w:szCs w:val="24"/>
        </w:rPr>
        <w:t>Chapter 321 of the Public Laws of 1996 as amended (R.I. Gen. Laws § 11-9-13 et seq</w:t>
      </w:r>
      <w:r w:rsidR="002F7AFC" w:rsidRPr="001652A2">
        <w:rPr>
          <w:rFonts w:ascii="Times New Roman" w:hAnsi="Times New Roman" w:cs="Times New Roman"/>
          <w:sz w:val="24"/>
          <w:szCs w:val="24"/>
        </w:rPr>
        <w:t>.)</w:t>
      </w:r>
      <w:r w:rsidR="00676FD1" w:rsidRPr="001652A2">
        <w:rPr>
          <w:rFonts w:ascii="Times New Roman" w:hAnsi="Times New Roman" w:cs="Times New Roman"/>
          <w:sz w:val="24"/>
          <w:szCs w:val="24"/>
        </w:rPr>
        <w:t>,</w:t>
      </w:r>
      <w:r w:rsidR="00B50474">
        <w:rPr>
          <w:rFonts w:ascii="Times New Roman" w:hAnsi="Times New Roman" w:cs="Times New Roman"/>
          <w:sz w:val="24"/>
          <w:szCs w:val="24"/>
        </w:rPr>
        <w:t xml:space="preserve"> which include</w:t>
      </w:r>
      <w:r w:rsidR="00676FD1" w:rsidRPr="003064DB">
        <w:rPr>
          <w:rFonts w:ascii="Times New Roman" w:hAnsi="Times New Roman" w:cs="Times New Roman"/>
          <w:sz w:val="24"/>
          <w:szCs w:val="24"/>
        </w:rPr>
        <w:t xml:space="preserve"> the following statement</w:t>
      </w:r>
      <w:r w:rsidR="00010016">
        <w:rPr>
          <w:rFonts w:ascii="Times New Roman" w:hAnsi="Times New Roman" w:cs="Times New Roman"/>
          <w:sz w:val="24"/>
          <w:szCs w:val="24"/>
        </w:rPr>
        <w:t xml:space="preserve"> in both English and Spanish</w:t>
      </w:r>
      <w:r w:rsidR="00676FD1" w:rsidRPr="003064DB">
        <w:rPr>
          <w:rFonts w:ascii="Times New Roman" w:hAnsi="Times New Roman" w:cs="Times New Roman"/>
          <w:sz w:val="24"/>
          <w:szCs w:val="24"/>
        </w:rPr>
        <w:t>:</w:t>
      </w:r>
    </w:p>
    <w:p w14:paraId="7286BA7D" w14:textId="77777777" w:rsidR="00676FD1" w:rsidRPr="003064DB" w:rsidRDefault="00676FD1" w:rsidP="00F416A9">
      <w:pPr>
        <w:pStyle w:val="ListParagraph"/>
        <w:spacing w:line="288" w:lineRule="auto"/>
        <w:rPr>
          <w:rFonts w:ascii="Times New Roman" w:hAnsi="Times New Roman" w:cs="Times New Roman"/>
          <w:sz w:val="24"/>
          <w:szCs w:val="24"/>
        </w:rPr>
      </w:pPr>
    </w:p>
    <w:p w14:paraId="35AD491E" w14:textId="49A94A2C" w:rsidR="00676FD1" w:rsidRPr="00B50474" w:rsidRDefault="0013520E" w:rsidP="00F416A9">
      <w:pPr>
        <w:pStyle w:val="ListParagraph"/>
        <w:spacing w:line="288" w:lineRule="auto"/>
        <w:ind w:left="1440"/>
        <w:rPr>
          <w:rFonts w:ascii="Times New Roman" w:hAnsi="Times New Roman" w:cs="Times New Roman"/>
          <w:sz w:val="24"/>
          <w:szCs w:val="24"/>
        </w:rPr>
      </w:pPr>
      <w:r w:rsidRPr="00B50474">
        <w:rPr>
          <w:rFonts w:ascii="Times New Roman" w:hAnsi="Times New Roman" w:cs="Times New Roman"/>
          <w:sz w:val="24"/>
          <w:szCs w:val="24"/>
        </w:rPr>
        <w:t>“The [</w:t>
      </w:r>
      <w:r w:rsidR="000C109F">
        <w:rPr>
          <w:rFonts w:ascii="Times New Roman" w:hAnsi="Times New Roman" w:cs="Times New Roman"/>
          <w:sz w:val="24"/>
          <w:szCs w:val="24"/>
        </w:rPr>
        <w:t xml:space="preserve"> </w:t>
      </w:r>
      <w:r w:rsidR="00676FD1" w:rsidRPr="00B50474">
        <w:rPr>
          <w:rFonts w:ascii="Times New Roman" w:hAnsi="Times New Roman" w:cs="Times New Roman"/>
          <w:sz w:val="24"/>
          <w:szCs w:val="24"/>
          <w:u w:val="single"/>
        </w:rPr>
        <w:t>City</w:t>
      </w:r>
      <w:r w:rsidR="00676FD1" w:rsidRPr="00B50474">
        <w:rPr>
          <w:rFonts w:ascii="Times New Roman" w:hAnsi="Times New Roman" w:cs="Times New Roman"/>
          <w:sz w:val="24"/>
          <w:szCs w:val="24"/>
        </w:rPr>
        <w:t xml:space="preserve"> / </w:t>
      </w:r>
      <w:r w:rsidR="00676FD1" w:rsidRPr="00B50474">
        <w:rPr>
          <w:rFonts w:ascii="Times New Roman" w:hAnsi="Times New Roman" w:cs="Times New Roman"/>
          <w:sz w:val="24"/>
          <w:szCs w:val="24"/>
          <w:u w:val="double"/>
        </w:rPr>
        <w:t>Town</w:t>
      </w:r>
      <w:r w:rsidR="000C109F">
        <w:rPr>
          <w:rFonts w:ascii="Times New Roman" w:hAnsi="Times New Roman" w:cs="Times New Roman"/>
          <w:sz w:val="24"/>
          <w:szCs w:val="24"/>
        </w:rPr>
        <w:t xml:space="preserve"> ]</w:t>
      </w:r>
      <w:r w:rsidR="00676FD1" w:rsidRPr="00B50474">
        <w:rPr>
          <w:rFonts w:ascii="Times New Roman" w:hAnsi="Times New Roman" w:cs="Times New Roman"/>
          <w:sz w:val="24"/>
          <w:szCs w:val="24"/>
        </w:rPr>
        <w:t xml:space="preserve"> of </w:t>
      </w:r>
      <w:r w:rsidRPr="00B50474">
        <w:rPr>
          <w:rFonts w:ascii="Times New Roman" w:hAnsi="Times New Roman" w:cs="Times New Roman"/>
          <w:sz w:val="24"/>
          <w:szCs w:val="24"/>
        </w:rPr>
        <w:t>[</w:t>
      </w:r>
      <w:r w:rsidR="0011338E">
        <w:rPr>
          <w:rFonts w:ascii="Times New Roman" w:hAnsi="Times New Roman" w:cs="Times New Roman"/>
          <w:sz w:val="24"/>
          <w:szCs w:val="24"/>
        </w:rPr>
        <w:t xml:space="preserve"> </w:t>
      </w:r>
      <w:r w:rsidR="001024EA" w:rsidRPr="001024EA">
        <w:rPr>
          <w:rFonts w:ascii="Times New Roman" w:hAnsi="Times New Roman" w:cs="Times New Roman"/>
          <w:i/>
          <w:sz w:val="24"/>
          <w:szCs w:val="24"/>
        </w:rPr>
        <w:t xml:space="preserve">Name of </w:t>
      </w:r>
      <w:r w:rsidR="0011338E" w:rsidRPr="00F40596">
        <w:rPr>
          <w:rFonts w:ascii="Times New Roman" w:hAnsi="Times New Roman" w:cs="Times New Roman"/>
          <w:i/>
          <w:sz w:val="24"/>
          <w:szCs w:val="24"/>
        </w:rPr>
        <w:t>City/Town</w:t>
      </w:r>
      <w:r w:rsidR="001024EA">
        <w:rPr>
          <w:i/>
        </w:rPr>
        <w:t xml:space="preserve"> </w:t>
      </w:r>
      <w:r w:rsidRPr="00B50474">
        <w:rPr>
          <w:rFonts w:ascii="Times New Roman" w:hAnsi="Times New Roman" w:cs="Times New Roman"/>
          <w:sz w:val="24"/>
          <w:szCs w:val="24"/>
        </w:rPr>
        <w:t xml:space="preserve">] </w:t>
      </w:r>
      <w:r w:rsidR="00676FD1" w:rsidRPr="00B50474">
        <w:rPr>
          <w:rFonts w:ascii="Times New Roman" w:hAnsi="Times New Roman" w:cs="Times New Roman"/>
          <w:sz w:val="24"/>
          <w:szCs w:val="24"/>
        </w:rPr>
        <w:t xml:space="preserve">prohibits this store from selling or providing a tobacco product or tobacco paraphernalia to any </w:t>
      </w:r>
      <w:r w:rsidR="00B50474">
        <w:rPr>
          <w:rFonts w:ascii="Times New Roman" w:hAnsi="Times New Roman" w:cs="Times New Roman"/>
          <w:sz w:val="24"/>
          <w:szCs w:val="24"/>
        </w:rPr>
        <w:t>individual</w:t>
      </w:r>
      <w:r w:rsidR="00676FD1" w:rsidRPr="00B50474">
        <w:rPr>
          <w:rFonts w:ascii="Times New Roman" w:hAnsi="Times New Roman" w:cs="Times New Roman"/>
          <w:sz w:val="24"/>
          <w:szCs w:val="24"/>
        </w:rPr>
        <w:t xml:space="preserve"> under 21 years of age.”</w:t>
      </w:r>
      <w:r w:rsidR="002F7AFC" w:rsidRPr="00B50474">
        <w:rPr>
          <w:rFonts w:ascii="Times New Roman" w:hAnsi="Times New Roman" w:cs="Times New Roman"/>
          <w:sz w:val="24"/>
          <w:szCs w:val="24"/>
        </w:rPr>
        <w:br/>
      </w:r>
    </w:p>
    <w:p w14:paraId="2684A5E0" w14:textId="308BD79B" w:rsidR="002F7AFC" w:rsidRDefault="002F7AFC" w:rsidP="00F416A9">
      <w:pPr>
        <w:pStyle w:val="ListParagraph"/>
        <w:numPr>
          <w:ilvl w:val="0"/>
          <w:numId w:val="4"/>
        </w:numPr>
        <w:spacing w:line="288" w:lineRule="auto"/>
        <w:rPr>
          <w:rFonts w:ascii="Times New Roman" w:hAnsi="Times New Roman" w:cs="Times New Roman"/>
          <w:sz w:val="24"/>
          <w:szCs w:val="24"/>
        </w:rPr>
      </w:pPr>
      <w:r>
        <w:rPr>
          <w:rFonts w:ascii="Times New Roman" w:hAnsi="Times New Roman" w:cs="Times New Roman"/>
          <w:sz w:val="24"/>
          <w:szCs w:val="24"/>
        </w:rPr>
        <w:t>The size, design, and typeface requirements for the sign</w:t>
      </w:r>
      <w:r w:rsidR="001652A2">
        <w:rPr>
          <w:rFonts w:ascii="Times New Roman" w:hAnsi="Times New Roman" w:cs="Times New Roman"/>
          <w:sz w:val="24"/>
          <w:szCs w:val="24"/>
        </w:rPr>
        <w:t>(s)</w:t>
      </w:r>
      <w:r>
        <w:rPr>
          <w:rFonts w:ascii="Times New Roman" w:hAnsi="Times New Roman" w:cs="Times New Roman"/>
          <w:sz w:val="24"/>
          <w:szCs w:val="24"/>
        </w:rPr>
        <w:t xml:space="preserve"> required by subsection (d) shall be the same as the</w:t>
      </w:r>
      <w:r w:rsidR="005822CE">
        <w:rPr>
          <w:rFonts w:ascii="Times New Roman" w:hAnsi="Times New Roman" w:cs="Times New Roman"/>
          <w:sz w:val="24"/>
          <w:szCs w:val="24"/>
        </w:rPr>
        <w:t xml:space="preserve"> requirements for</w:t>
      </w:r>
      <w:r>
        <w:rPr>
          <w:rFonts w:ascii="Times New Roman" w:hAnsi="Times New Roman" w:cs="Times New Roman"/>
          <w:sz w:val="24"/>
          <w:szCs w:val="24"/>
        </w:rPr>
        <w:t xml:space="preserve"> sign</w:t>
      </w:r>
      <w:r w:rsidR="00063038">
        <w:rPr>
          <w:rFonts w:ascii="Times New Roman" w:hAnsi="Times New Roman" w:cs="Times New Roman"/>
          <w:sz w:val="24"/>
          <w:szCs w:val="24"/>
        </w:rPr>
        <w:t>(s)</w:t>
      </w:r>
      <w:r>
        <w:rPr>
          <w:rFonts w:ascii="Times New Roman" w:hAnsi="Times New Roman" w:cs="Times New Roman"/>
          <w:sz w:val="24"/>
          <w:szCs w:val="24"/>
        </w:rPr>
        <w:t xml:space="preserve"> required by subsection (c).</w:t>
      </w:r>
    </w:p>
    <w:p w14:paraId="495D1F73" w14:textId="77777777" w:rsidR="00490C0A" w:rsidRDefault="00490C0A" w:rsidP="00490C0A">
      <w:pPr>
        <w:pStyle w:val="ListParagraph"/>
        <w:spacing w:line="288" w:lineRule="auto"/>
        <w:rPr>
          <w:rFonts w:ascii="Times New Roman" w:hAnsi="Times New Roman" w:cs="Times New Roman"/>
          <w:sz w:val="24"/>
          <w:szCs w:val="24"/>
        </w:rPr>
      </w:pPr>
    </w:p>
    <w:p w14:paraId="24D4D387" w14:textId="7541A341" w:rsidR="001652A2" w:rsidRDefault="001652A2" w:rsidP="00490C0A">
      <w:pPr>
        <w:pStyle w:val="commentsbox"/>
        <w:spacing w:line="260" w:lineRule="exact"/>
        <w:ind w:left="360" w:right="360"/>
      </w:pPr>
      <w:r w:rsidRPr="00FD5E57">
        <w:rPr>
          <w:b/>
          <w:caps/>
        </w:rPr>
        <w:lastRenderedPageBreak/>
        <w:t>comment:</w:t>
      </w:r>
      <w:r>
        <w:t xml:space="preserve"> Rhode Island state law requires </w:t>
      </w:r>
      <w:r w:rsidR="00010016">
        <w:t xml:space="preserve">tobacco </w:t>
      </w:r>
      <w:r w:rsidR="00B50474">
        <w:t xml:space="preserve">retailers </w:t>
      </w:r>
      <w:r w:rsidR="00010016">
        <w:t xml:space="preserve">to </w:t>
      </w:r>
      <w:r w:rsidR="00B50474">
        <w:t>post</w:t>
      </w:r>
      <w:r>
        <w:t xml:space="preserve"> several signs with specified information about (1) the state minimum age requirement for the purchase </w:t>
      </w:r>
      <w:r w:rsidR="00B50474">
        <w:t xml:space="preserve">and sale of </w:t>
      </w:r>
      <w:r>
        <w:t xml:space="preserve">tobacco </w:t>
      </w:r>
      <w:r w:rsidR="00B50474">
        <w:t xml:space="preserve">products </w:t>
      </w:r>
      <w:r>
        <w:t>and electronic nicotine-delivery system</w:t>
      </w:r>
      <w:r w:rsidR="00B50474">
        <w:t>s</w:t>
      </w:r>
      <w:r>
        <w:t xml:space="preserve">, </w:t>
      </w:r>
      <w:r w:rsidR="00010016">
        <w:t xml:space="preserve">as well as photo identification check </w:t>
      </w:r>
      <w:r>
        <w:t>requirements; and (2) the health effects of tobacco. A local Tobacco 21 law may not modify these requirements</w:t>
      </w:r>
      <w:r w:rsidR="005822CE">
        <w:t>.</w:t>
      </w:r>
      <w:r>
        <w:t xml:space="preserve"> </w:t>
      </w:r>
      <w:r w:rsidR="00EF77CA">
        <w:t>This means that i</w:t>
      </w:r>
      <w:r>
        <w:t xml:space="preserve">n jurisdictions adopting a local Tobacco 21 law, Tobacco Retailers </w:t>
      </w:r>
      <w:r w:rsidR="00EF77CA">
        <w:t xml:space="preserve">still </w:t>
      </w:r>
      <w:r>
        <w:t xml:space="preserve">must comply with state law by posting these signs. </w:t>
      </w:r>
      <w:r>
        <w:br/>
      </w:r>
      <w:r>
        <w:br/>
        <w:t>The first sign required by Rhode Island state law must “[c]</w:t>
      </w:r>
      <w:r w:rsidRPr="001652A2">
        <w:t>ontain in red bold lettering a minimum of three-eighths ( ⅜ ″) inch high on a white background the following wording in both English and Spanish:</w:t>
      </w:r>
      <w:r>
        <w:br/>
      </w:r>
    </w:p>
    <w:p w14:paraId="1B945418" w14:textId="78A9F058" w:rsidR="001652A2" w:rsidRPr="002A5AE8" w:rsidRDefault="001652A2" w:rsidP="00490C0A">
      <w:pPr>
        <w:pStyle w:val="commentsbox"/>
        <w:spacing w:line="260" w:lineRule="exact"/>
        <w:ind w:left="360" w:right="360"/>
      </w:pPr>
      <w:r w:rsidRPr="002A5AE8">
        <w:t>THE SALE OF CIGARETTES, TOBACCO AND ELECTRONIC NICOTINE-DELIVERY SYSTEM PRODUCTS TO PERSONS UNDER THE AGE OF 18 IS AGAINST RHODE ISLAND LAW (§ 11-9-13.8(1), Rhode Island Statutes) PHOTO ID FOR PROOF OF AGE IS REQUIRED FOR PURCHASE.</w:t>
      </w:r>
      <w:r>
        <w:t xml:space="preserve">” </w:t>
      </w:r>
      <w:r w:rsidR="004F2995">
        <w:t>R.I. Gen. Laws § 11-9-13.7(1).</w:t>
      </w:r>
      <w:r>
        <w:br/>
      </w:r>
      <w:r>
        <w:br/>
        <w:t>The sign must also “[c]</w:t>
      </w:r>
      <w:r w:rsidRPr="001652A2">
        <w:t>ontain the phone number at the department of behavioral healthcare, developmental disabilities and hospitals, where violations of §§ 11-9-13.2 -- 11-9-13.19 can be reported, in addition to any other information required by the department of behavioral healthcare, developme</w:t>
      </w:r>
      <w:r>
        <w:t>ntal disabilities and hospitals.”</w:t>
      </w:r>
      <w:r w:rsidR="004F2995" w:rsidRPr="004F2995">
        <w:t xml:space="preserve"> </w:t>
      </w:r>
      <w:r w:rsidR="004F2995">
        <w:t>R.I. Gen. Laws § 11-9-13.7(2).</w:t>
      </w:r>
      <w:r>
        <w:t xml:space="preserve"> Tobacco Retailers must have the sign “</w:t>
      </w:r>
      <w:r w:rsidRPr="001652A2">
        <w:t>displayed prominently for public view, wherever tobacco products are sold at each cash register, each tobacco and/or electronic nicotine-delivery systems vending machine, or any other place from which tobacco products and/or electronic nicotine-delivery systems are sold.</w:t>
      </w:r>
      <w:r>
        <w:t>”</w:t>
      </w:r>
      <w:r w:rsidR="004F2995">
        <w:t xml:space="preserve"> R.I. Gen. Laws § 11-9-13.7(3).</w:t>
      </w:r>
      <w:r>
        <w:br/>
      </w:r>
      <w:r>
        <w:br/>
        <w:t>The second sign required by Rhode Island state law must “[c]</w:t>
      </w:r>
      <w:r w:rsidRPr="001652A2">
        <w:t xml:space="preserve">ontain red bold lettering a minimum of one-quarters of an inch (1/4″) high on a white background the following wording, in both English and Spanish: </w:t>
      </w:r>
      <w:r>
        <w:br/>
      </w:r>
      <w:r>
        <w:br/>
      </w:r>
      <w:r w:rsidRPr="001652A2">
        <w:t>WARNING: SMOKING CIGARETTES CONTRIBUTES TO LUNG DISEASE, CANCER, HEART DISEASE, STROKE AND RESPIRATORY ILLNESS AND DURING PREGNANCY MAY RESULT IN LOW BIRTH WEIGHT AND PREMATURE BIRTH.</w:t>
      </w:r>
      <w:r>
        <w:t>”</w:t>
      </w:r>
      <w:r w:rsidR="004F2995">
        <w:t xml:space="preserve"> R.I. Gen. Laws § 11-9-13.8.1(1).</w:t>
      </w:r>
      <w:r>
        <w:br/>
      </w:r>
      <w:r>
        <w:br/>
        <w:t>The sign must also “</w:t>
      </w:r>
      <w:r w:rsidRPr="001652A2">
        <w:t>include information regarding resources available to Rhode Island residents</w:t>
      </w:r>
      <w:r>
        <w:t xml:space="preserve"> who would like to quit smoking,” </w:t>
      </w:r>
      <w:r w:rsidR="004F2995">
        <w:t xml:space="preserve">R.I. Gen. Laws § 11-9-13.8.1(2), </w:t>
      </w:r>
      <w:r>
        <w:t>and “</w:t>
      </w:r>
      <w:r w:rsidRPr="001652A2">
        <w:t>be displayed prominently for public view wherever tobacco products are sold at each cash register, each tobacco vending machine, or any other place from which tobacco products are sold.</w:t>
      </w:r>
      <w:r>
        <w:t>”</w:t>
      </w:r>
      <w:r w:rsidR="004F2995">
        <w:t xml:space="preserve"> R.I. Gen. Laws § 11-9-13.8.1(3).</w:t>
      </w:r>
      <w:r>
        <w:br/>
      </w:r>
      <w:r>
        <w:br/>
        <w:t xml:space="preserve">To </w:t>
      </w:r>
      <w:r w:rsidR="005822CE">
        <w:t xml:space="preserve">prevent </w:t>
      </w:r>
      <w:r>
        <w:t xml:space="preserve">confusion, this Model Ordinance requires Tobacco Retailers to post an additional sign stating that the sale of Tobacco Products and Tobacco Paraphernalia to individuals under 21 years of age is prohibited in the city or town adopting the ordinance. This sign is in addition to, not in lieu of, the signs required by state law. The additional sign required by this ordinance must be placed adjacent to the signs required by state law and comply with the same size, design, and typeface requirements </w:t>
      </w:r>
      <w:r w:rsidR="005822CE">
        <w:t xml:space="preserve">that apply to </w:t>
      </w:r>
      <w:r>
        <w:t>the signs required by state law.</w:t>
      </w:r>
    </w:p>
    <w:p w14:paraId="3EE94BB6" w14:textId="77777777" w:rsidR="00626E76" w:rsidRPr="001442C4" w:rsidRDefault="00626E76" w:rsidP="001442C4">
      <w:pPr>
        <w:ind w:left="360"/>
      </w:pPr>
    </w:p>
    <w:p w14:paraId="22D0CA30" w14:textId="301516A2" w:rsidR="00626E76" w:rsidRPr="001442C4" w:rsidRDefault="001442C4" w:rsidP="00F416A9">
      <w:pPr>
        <w:pStyle w:val="ListParagraph"/>
        <w:numPr>
          <w:ilvl w:val="0"/>
          <w:numId w:val="4"/>
        </w:numPr>
        <w:spacing w:line="288" w:lineRule="auto"/>
        <w:rPr>
          <w:rFonts w:ascii="Times New Roman" w:hAnsi="Times New Roman" w:cs="Times New Roman"/>
          <w:i/>
          <w:sz w:val="24"/>
          <w:szCs w:val="24"/>
        </w:rPr>
      </w:pPr>
      <w:r w:rsidRPr="001442C4">
        <w:rPr>
          <w:rFonts w:ascii="Times New Roman" w:hAnsi="Times New Roman" w:cs="Times New Roman"/>
          <w:i/>
          <w:sz w:val="24"/>
          <w:szCs w:val="24"/>
        </w:rPr>
        <w:lastRenderedPageBreak/>
        <w:t>Subsection (a) does not apply to the handling or transportation of a Tobacco Product or Tobacco Paraphernalia by an individual under 21 years of age under the terms of that individual’s employment.</w:t>
      </w:r>
    </w:p>
    <w:p w14:paraId="0FA99577" w14:textId="190EA94F" w:rsidR="001442C4" w:rsidRDefault="001442C4" w:rsidP="00490C0A">
      <w:pPr>
        <w:pStyle w:val="commentsbox"/>
        <w:spacing w:line="260" w:lineRule="exact"/>
        <w:ind w:left="720" w:right="115"/>
      </w:pPr>
      <w:r w:rsidRPr="00FD5E57">
        <w:rPr>
          <w:b/>
          <w:caps/>
        </w:rPr>
        <w:t>comment:</w:t>
      </w:r>
      <w:r>
        <w:t xml:space="preserve"> This is an optional provision that allows individuals under 21 years of age to work in jobs that require the handling and/or transportation of Tobacco Products and Tobacco Paraphernal</w:t>
      </w:r>
      <w:r w:rsidR="00795B86">
        <w:t>ia (e.g. a retail store clerk).</w:t>
      </w:r>
    </w:p>
    <w:p w14:paraId="53DAD98A" w14:textId="77777777" w:rsidR="0017360E" w:rsidRPr="003064DB" w:rsidRDefault="0017360E"/>
    <w:p w14:paraId="0DD87494" w14:textId="37FE0575" w:rsidR="0038111C" w:rsidRPr="003064DB" w:rsidRDefault="0038111C">
      <w:pPr>
        <w:rPr>
          <w:b/>
        </w:rPr>
      </w:pPr>
      <w:r w:rsidRPr="003064DB">
        <w:rPr>
          <w:b/>
        </w:rPr>
        <w:t xml:space="preserve">Sec. [ </w:t>
      </w:r>
      <w:r w:rsidRPr="003064DB">
        <w:rPr>
          <w:b/>
          <w:u w:val="single"/>
        </w:rPr>
        <w:tab/>
      </w:r>
      <w:r w:rsidRPr="003064DB">
        <w:rPr>
          <w:b/>
          <w:u w:val="single"/>
        </w:rPr>
        <w:tab/>
      </w:r>
      <w:r w:rsidRPr="003064DB">
        <w:rPr>
          <w:b/>
        </w:rPr>
        <w:t xml:space="preserve"> </w:t>
      </w:r>
      <w:r w:rsidR="00C22496">
        <w:rPr>
          <w:b/>
        </w:rPr>
        <w:t>(*3</w:t>
      </w:r>
      <w:r w:rsidRPr="003064DB">
        <w:rPr>
          <w:b/>
        </w:rPr>
        <w:t>) ].</w:t>
      </w:r>
      <w:r w:rsidR="00975C57">
        <w:rPr>
          <w:b/>
        </w:rPr>
        <w:t xml:space="preserve"> </w:t>
      </w:r>
      <w:r w:rsidR="007A3430" w:rsidRPr="00C22496">
        <w:rPr>
          <w:rFonts w:ascii="Times New Roman Bold" w:hAnsi="Times New Roman Bold"/>
          <w:b/>
          <w:caps/>
        </w:rPr>
        <w:t>E</w:t>
      </w:r>
      <w:r w:rsidRPr="00C22496">
        <w:rPr>
          <w:rFonts w:ascii="Times New Roman Bold" w:hAnsi="Times New Roman Bold"/>
          <w:b/>
          <w:caps/>
        </w:rPr>
        <w:t>nforcement</w:t>
      </w:r>
    </w:p>
    <w:p w14:paraId="46EFED25" w14:textId="77777777" w:rsidR="004F42FA" w:rsidRPr="003064DB" w:rsidRDefault="004F42FA">
      <w:pPr>
        <w:rPr>
          <w:b/>
        </w:rPr>
      </w:pPr>
    </w:p>
    <w:p w14:paraId="1303370F" w14:textId="05960DAE" w:rsidR="00975C57" w:rsidRPr="0013520E" w:rsidRDefault="00B5381A" w:rsidP="00F416A9">
      <w:pPr>
        <w:pStyle w:val="ListParagraph"/>
        <w:numPr>
          <w:ilvl w:val="0"/>
          <w:numId w:val="3"/>
        </w:numPr>
        <w:spacing w:line="288" w:lineRule="auto"/>
        <w:rPr>
          <w:rFonts w:ascii="Times New Roman" w:hAnsi="Times New Roman" w:cs="Times New Roman"/>
          <w:sz w:val="24"/>
          <w:szCs w:val="24"/>
        </w:rPr>
      </w:pPr>
      <w:r w:rsidRPr="003064DB">
        <w:rPr>
          <w:rFonts w:ascii="Times New Roman" w:hAnsi="Times New Roman" w:cs="Times New Roman"/>
          <w:sz w:val="24"/>
          <w:szCs w:val="24"/>
        </w:rPr>
        <w:t xml:space="preserve">Any </w:t>
      </w:r>
      <w:r w:rsidR="00295A8E">
        <w:rPr>
          <w:rFonts w:ascii="Times New Roman" w:hAnsi="Times New Roman" w:cs="Times New Roman"/>
          <w:sz w:val="24"/>
          <w:szCs w:val="24"/>
        </w:rPr>
        <w:t>Tobacco Retailer</w:t>
      </w:r>
      <w:r w:rsidRPr="003064DB">
        <w:rPr>
          <w:rFonts w:ascii="Times New Roman" w:hAnsi="Times New Roman" w:cs="Times New Roman"/>
          <w:sz w:val="24"/>
          <w:szCs w:val="24"/>
        </w:rPr>
        <w:t xml:space="preserve"> </w:t>
      </w:r>
      <w:r w:rsidR="003433DD">
        <w:rPr>
          <w:rFonts w:ascii="Times New Roman" w:hAnsi="Times New Roman" w:cs="Times New Roman"/>
          <w:sz w:val="24"/>
          <w:szCs w:val="24"/>
        </w:rPr>
        <w:t xml:space="preserve">found to have violated </w:t>
      </w:r>
      <w:r w:rsidRPr="003064DB">
        <w:rPr>
          <w:rFonts w:ascii="Times New Roman" w:hAnsi="Times New Roman" w:cs="Times New Roman"/>
          <w:sz w:val="24"/>
          <w:szCs w:val="24"/>
        </w:rPr>
        <w:t xml:space="preserve">this </w:t>
      </w:r>
      <w:r w:rsidR="003433DD">
        <w:rPr>
          <w:rFonts w:ascii="Times New Roman" w:hAnsi="Times New Roman" w:cs="Times New Roman"/>
          <w:sz w:val="24"/>
          <w:szCs w:val="24"/>
        </w:rPr>
        <w:t>ordinance</w:t>
      </w:r>
      <w:r w:rsidR="00624794" w:rsidRPr="003064DB">
        <w:rPr>
          <w:rFonts w:ascii="Times New Roman" w:hAnsi="Times New Roman" w:cs="Times New Roman"/>
          <w:sz w:val="24"/>
          <w:szCs w:val="24"/>
        </w:rPr>
        <w:t xml:space="preserve"> </w:t>
      </w:r>
      <w:r w:rsidRPr="003064DB">
        <w:rPr>
          <w:rFonts w:ascii="Times New Roman" w:hAnsi="Times New Roman" w:cs="Times New Roman"/>
          <w:sz w:val="24"/>
          <w:szCs w:val="24"/>
        </w:rPr>
        <w:t xml:space="preserve">shall be </w:t>
      </w:r>
      <w:r w:rsidR="00975C57">
        <w:rPr>
          <w:rFonts w:ascii="Times New Roman" w:hAnsi="Times New Roman" w:cs="Times New Roman"/>
          <w:sz w:val="24"/>
          <w:szCs w:val="24"/>
        </w:rPr>
        <w:t>assessed</w:t>
      </w:r>
      <w:r w:rsidRPr="003064DB">
        <w:rPr>
          <w:rFonts w:ascii="Times New Roman" w:hAnsi="Times New Roman" w:cs="Times New Roman"/>
          <w:sz w:val="24"/>
          <w:szCs w:val="24"/>
        </w:rPr>
        <w:t xml:space="preserve"> </w:t>
      </w:r>
      <w:r w:rsidR="0013520E">
        <w:rPr>
          <w:rFonts w:ascii="Times New Roman" w:hAnsi="Times New Roman" w:cs="Times New Roman"/>
          <w:sz w:val="24"/>
          <w:szCs w:val="24"/>
        </w:rPr>
        <w:t>a fine not to exceed [</w:t>
      </w:r>
      <w:r w:rsidR="000C109F">
        <w:rPr>
          <w:rFonts w:ascii="Times New Roman" w:hAnsi="Times New Roman" w:cs="Times New Roman"/>
          <w:sz w:val="24"/>
          <w:szCs w:val="24"/>
        </w:rPr>
        <w:t xml:space="preserve"> </w:t>
      </w:r>
      <w:r w:rsidR="0013520E" w:rsidRPr="002D0658">
        <w:rPr>
          <w:rFonts w:ascii="Times New Roman" w:hAnsi="Times New Roman" w:cs="Times New Roman"/>
          <w:sz w:val="24"/>
          <w:szCs w:val="24"/>
          <w:u w:val="single"/>
        </w:rPr>
        <w:t>t</w:t>
      </w:r>
      <w:r w:rsidR="003064DB" w:rsidRPr="002D0658">
        <w:rPr>
          <w:rFonts w:ascii="Times New Roman" w:hAnsi="Times New Roman" w:cs="Times New Roman"/>
          <w:sz w:val="24"/>
          <w:szCs w:val="24"/>
          <w:u w:val="single"/>
        </w:rPr>
        <w:t>wo hundred</w:t>
      </w:r>
      <w:r w:rsidR="00EF77CA">
        <w:rPr>
          <w:rFonts w:ascii="Times New Roman" w:hAnsi="Times New Roman" w:cs="Times New Roman"/>
          <w:sz w:val="24"/>
          <w:szCs w:val="24"/>
          <w:u w:val="single"/>
        </w:rPr>
        <w:t xml:space="preserve"> fifty</w:t>
      </w:r>
      <w:r w:rsidR="003064DB" w:rsidRPr="002D0658">
        <w:rPr>
          <w:rFonts w:ascii="Times New Roman" w:hAnsi="Times New Roman" w:cs="Times New Roman"/>
          <w:sz w:val="24"/>
          <w:szCs w:val="24"/>
          <w:u w:val="single"/>
        </w:rPr>
        <w:t xml:space="preserve"> dollars ($</w:t>
      </w:r>
      <w:r w:rsidR="0013520E" w:rsidRPr="002D0658">
        <w:rPr>
          <w:rFonts w:ascii="Times New Roman" w:hAnsi="Times New Roman" w:cs="Times New Roman"/>
          <w:sz w:val="24"/>
          <w:szCs w:val="24"/>
          <w:u w:val="single"/>
        </w:rPr>
        <w:t>25</w:t>
      </w:r>
      <w:r w:rsidR="003064DB" w:rsidRPr="002D0658">
        <w:rPr>
          <w:rFonts w:ascii="Times New Roman" w:hAnsi="Times New Roman" w:cs="Times New Roman"/>
          <w:sz w:val="24"/>
          <w:szCs w:val="24"/>
          <w:u w:val="single"/>
        </w:rPr>
        <w:t>0.00)</w:t>
      </w:r>
      <w:r w:rsidR="000C109F">
        <w:rPr>
          <w:rFonts w:ascii="Times New Roman" w:hAnsi="Times New Roman" w:cs="Times New Roman"/>
          <w:sz w:val="24"/>
          <w:szCs w:val="24"/>
        </w:rPr>
        <w:t xml:space="preserve"> ]</w:t>
      </w:r>
      <w:r w:rsidR="0013520E">
        <w:rPr>
          <w:rFonts w:ascii="Times New Roman" w:hAnsi="Times New Roman" w:cs="Times New Roman"/>
          <w:sz w:val="24"/>
          <w:szCs w:val="24"/>
        </w:rPr>
        <w:t xml:space="preserve"> for the first violation, or</w:t>
      </w:r>
      <w:r w:rsidR="0013520E" w:rsidRPr="0013520E">
        <w:rPr>
          <w:rFonts w:ascii="Times New Roman" w:hAnsi="Times New Roman" w:cs="Times New Roman"/>
          <w:sz w:val="24"/>
          <w:szCs w:val="24"/>
        </w:rPr>
        <w:t xml:space="preserve"> </w:t>
      </w:r>
      <w:r w:rsidR="0013520E">
        <w:rPr>
          <w:rFonts w:ascii="Times New Roman" w:hAnsi="Times New Roman" w:cs="Times New Roman"/>
          <w:sz w:val="24"/>
          <w:szCs w:val="24"/>
        </w:rPr>
        <w:t>[</w:t>
      </w:r>
      <w:r w:rsidR="000C109F">
        <w:rPr>
          <w:rFonts w:ascii="Times New Roman" w:hAnsi="Times New Roman" w:cs="Times New Roman"/>
          <w:sz w:val="24"/>
          <w:szCs w:val="24"/>
        </w:rPr>
        <w:t xml:space="preserve"> </w:t>
      </w:r>
      <w:r w:rsidR="0013520E" w:rsidRPr="002D0658">
        <w:rPr>
          <w:rFonts w:ascii="Times New Roman" w:hAnsi="Times New Roman" w:cs="Times New Roman"/>
          <w:sz w:val="24"/>
          <w:szCs w:val="24"/>
          <w:u w:val="single"/>
        </w:rPr>
        <w:t>f</w:t>
      </w:r>
      <w:r w:rsidR="003064DB" w:rsidRPr="002D0658">
        <w:rPr>
          <w:rFonts w:ascii="Times New Roman" w:hAnsi="Times New Roman" w:cs="Times New Roman"/>
          <w:sz w:val="24"/>
          <w:szCs w:val="24"/>
          <w:u w:val="single"/>
        </w:rPr>
        <w:t>ive hundred dollars ($500.00)</w:t>
      </w:r>
      <w:r w:rsidR="000C109F">
        <w:rPr>
          <w:rFonts w:ascii="Times New Roman" w:hAnsi="Times New Roman" w:cs="Times New Roman"/>
          <w:sz w:val="24"/>
          <w:szCs w:val="24"/>
        </w:rPr>
        <w:t xml:space="preserve"> ]</w:t>
      </w:r>
      <w:r w:rsidR="003064DB" w:rsidRPr="0013520E">
        <w:rPr>
          <w:rFonts w:ascii="Times New Roman" w:hAnsi="Times New Roman" w:cs="Times New Roman"/>
          <w:sz w:val="24"/>
          <w:szCs w:val="24"/>
        </w:rPr>
        <w:t xml:space="preserve"> for each subsequent violation </w:t>
      </w:r>
      <w:r w:rsidR="0013520E">
        <w:rPr>
          <w:rFonts w:ascii="Times New Roman" w:hAnsi="Times New Roman" w:cs="Times New Roman"/>
          <w:sz w:val="24"/>
          <w:szCs w:val="24"/>
        </w:rPr>
        <w:t>[</w:t>
      </w:r>
      <w:r w:rsidR="000C109F">
        <w:rPr>
          <w:rFonts w:ascii="Times New Roman" w:hAnsi="Times New Roman" w:cs="Times New Roman"/>
          <w:sz w:val="24"/>
          <w:szCs w:val="24"/>
        </w:rPr>
        <w:t xml:space="preserve"> </w:t>
      </w:r>
      <w:r w:rsidR="003433DD" w:rsidRPr="002D0658">
        <w:rPr>
          <w:rFonts w:ascii="Times New Roman" w:hAnsi="Times New Roman" w:cs="Times New Roman"/>
          <w:sz w:val="24"/>
          <w:szCs w:val="24"/>
          <w:u w:val="single"/>
        </w:rPr>
        <w:t xml:space="preserve">within a </w:t>
      </w:r>
      <w:r w:rsidR="00C12325">
        <w:rPr>
          <w:rFonts w:ascii="Times New Roman" w:hAnsi="Times New Roman" w:cs="Times New Roman"/>
          <w:sz w:val="24"/>
          <w:szCs w:val="24"/>
          <w:u w:val="single"/>
        </w:rPr>
        <w:t>5</w:t>
      </w:r>
      <w:r w:rsidR="003064DB" w:rsidRPr="002D0658">
        <w:rPr>
          <w:rFonts w:ascii="Times New Roman" w:hAnsi="Times New Roman" w:cs="Times New Roman"/>
          <w:sz w:val="24"/>
          <w:szCs w:val="24"/>
          <w:u w:val="single"/>
        </w:rPr>
        <w:t>-year period</w:t>
      </w:r>
      <w:r w:rsidR="000C109F">
        <w:rPr>
          <w:rFonts w:ascii="Times New Roman" w:hAnsi="Times New Roman" w:cs="Times New Roman"/>
          <w:sz w:val="24"/>
          <w:szCs w:val="24"/>
        </w:rPr>
        <w:t xml:space="preserve"> ]</w:t>
      </w:r>
      <w:r w:rsidR="003064DB" w:rsidRPr="0013520E">
        <w:rPr>
          <w:rFonts w:ascii="Times New Roman" w:hAnsi="Times New Roman" w:cs="Times New Roman"/>
          <w:sz w:val="24"/>
          <w:szCs w:val="24"/>
        </w:rPr>
        <w:t>.</w:t>
      </w:r>
    </w:p>
    <w:p w14:paraId="7D63EB94" w14:textId="7DD442BE" w:rsidR="00975C57" w:rsidRPr="00975C57" w:rsidRDefault="00975C57" w:rsidP="00490C0A">
      <w:pPr>
        <w:pStyle w:val="commentsbox"/>
        <w:spacing w:line="260" w:lineRule="exact"/>
        <w:ind w:left="720" w:right="115"/>
      </w:pPr>
      <w:r w:rsidRPr="00FD5E57">
        <w:rPr>
          <w:b/>
          <w:caps/>
        </w:rPr>
        <w:t>comment:</w:t>
      </w:r>
      <w:r>
        <w:t xml:space="preserve"> This provision </w:t>
      </w:r>
      <w:r w:rsidR="008713B2">
        <w:t>imposes</w:t>
      </w:r>
      <w:r>
        <w:t xml:space="preserve"> fines for violating the ordinance. The fine amounts can be adjusted but cannot exceed $500 per violation. R</w:t>
      </w:r>
      <w:r w:rsidR="0042158C">
        <w:t xml:space="preserve">.I. Gen. Laws </w:t>
      </w:r>
      <w:r>
        <w:t>§ 45-6-2.</w:t>
      </w:r>
    </w:p>
    <w:p w14:paraId="376FB4D3" w14:textId="77777777" w:rsidR="00295A8E" w:rsidRDefault="00295A8E" w:rsidP="00295A8E">
      <w:pPr>
        <w:pStyle w:val="ListParagraph"/>
        <w:spacing w:line="288" w:lineRule="auto"/>
        <w:rPr>
          <w:rFonts w:ascii="Times New Roman" w:hAnsi="Times New Roman" w:cs="Times New Roman"/>
          <w:sz w:val="24"/>
          <w:szCs w:val="24"/>
        </w:rPr>
      </w:pPr>
    </w:p>
    <w:p w14:paraId="2DD2665E" w14:textId="77777777" w:rsidR="00295A8E" w:rsidRDefault="00295A8E" w:rsidP="00295A8E">
      <w:pPr>
        <w:pStyle w:val="ListParagraph"/>
        <w:numPr>
          <w:ilvl w:val="0"/>
          <w:numId w:val="3"/>
        </w:numPr>
        <w:spacing w:line="288" w:lineRule="auto"/>
        <w:rPr>
          <w:rFonts w:ascii="Times New Roman" w:hAnsi="Times New Roman" w:cs="Times New Roman"/>
          <w:sz w:val="24"/>
          <w:szCs w:val="24"/>
        </w:rPr>
      </w:pPr>
      <w:r>
        <w:rPr>
          <w:rFonts w:ascii="Times New Roman" w:hAnsi="Times New Roman" w:cs="Times New Roman"/>
          <w:sz w:val="24"/>
          <w:szCs w:val="24"/>
        </w:rPr>
        <w:t>A Person is liable for the acts of their clerk, servant, agent, or employee in violating this ordinance.</w:t>
      </w:r>
    </w:p>
    <w:p w14:paraId="68A6C5D0" w14:textId="78C9F0C0" w:rsidR="004F42FA" w:rsidRDefault="00295A8E" w:rsidP="00490C0A">
      <w:pPr>
        <w:pStyle w:val="commentsbox"/>
        <w:spacing w:line="260" w:lineRule="exact"/>
        <w:ind w:left="720" w:right="115"/>
      </w:pPr>
      <w:r w:rsidRPr="00FD5E57">
        <w:rPr>
          <w:b/>
          <w:caps/>
        </w:rPr>
        <w:t>comment:</w:t>
      </w:r>
      <w:r>
        <w:t xml:space="preserve"> This provision allows enforcement against a </w:t>
      </w:r>
      <w:r w:rsidR="008713B2">
        <w:t>business</w:t>
      </w:r>
      <w:r>
        <w:t xml:space="preserve"> owner </w:t>
      </w:r>
      <w:r w:rsidR="004F42FA">
        <w:t>when their e</w:t>
      </w:r>
      <w:r w:rsidR="008713B2">
        <w:t>mployees violate this ordinance.</w:t>
      </w:r>
    </w:p>
    <w:p w14:paraId="7D519ACF" w14:textId="77777777" w:rsidR="00B5381A" w:rsidRPr="00295A8E" w:rsidRDefault="00B5381A" w:rsidP="00295A8E"/>
    <w:p w14:paraId="1A9DF272" w14:textId="5EA881A2" w:rsidR="00FD5CF3" w:rsidRDefault="00FD5CF3" w:rsidP="00F416A9">
      <w:pPr>
        <w:pStyle w:val="ListParagraph"/>
        <w:numPr>
          <w:ilvl w:val="0"/>
          <w:numId w:val="3"/>
        </w:numPr>
        <w:spacing w:line="288" w:lineRule="auto"/>
        <w:rPr>
          <w:rFonts w:ascii="Times New Roman" w:hAnsi="Times New Roman" w:cs="Times New Roman"/>
          <w:sz w:val="24"/>
          <w:szCs w:val="24"/>
        </w:rPr>
      </w:pPr>
      <w:r>
        <w:rPr>
          <w:rFonts w:ascii="Times New Roman" w:hAnsi="Times New Roman" w:cs="Times New Roman"/>
          <w:sz w:val="24"/>
          <w:szCs w:val="24"/>
        </w:rPr>
        <w:t>Each violation, and every day in which a violation occurs, shall constitute a separate violation.</w:t>
      </w:r>
    </w:p>
    <w:p w14:paraId="386AAF12" w14:textId="77777777" w:rsidR="00FD5CF3" w:rsidRDefault="00FD5CF3" w:rsidP="00F416A9">
      <w:pPr>
        <w:pStyle w:val="ListParagraph"/>
        <w:spacing w:line="288" w:lineRule="auto"/>
        <w:rPr>
          <w:rFonts w:ascii="Times New Roman" w:hAnsi="Times New Roman" w:cs="Times New Roman"/>
          <w:sz w:val="24"/>
          <w:szCs w:val="24"/>
        </w:rPr>
      </w:pPr>
    </w:p>
    <w:p w14:paraId="3EACE7F7" w14:textId="5BF07088" w:rsidR="0038111C" w:rsidRDefault="0013520E" w:rsidP="00F416A9">
      <w:pPr>
        <w:pStyle w:val="ListParagraph"/>
        <w:numPr>
          <w:ilvl w:val="0"/>
          <w:numId w:val="3"/>
        </w:numPr>
        <w:spacing w:line="288" w:lineRule="auto"/>
        <w:rPr>
          <w:rFonts w:ascii="Times New Roman" w:hAnsi="Times New Roman" w:cs="Times New Roman"/>
          <w:sz w:val="24"/>
          <w:szCs w:val="24"/>
        </w:rPr>
      </w:pPr>
      <w:r>
        <w:rPr>
          <w:rFonts w:ascii="Times New Roman" w:hAnsi="Times New Roman" w:cs="Times New Roman"/>
          <w:sz w:val="24"/>
          <w:szCs w:val="24"/>
        </w:rPr>
        <w:t>Violations of this [</w:t>
      </w:r>
      <w:r w:rsidR="000C109F">
        <w:rPr>
          <w:rFonts w:ascii="Times New Roman" w:hAnsi="Times New Roman" w:cs="Times New Roman"/>
          <w:sz w:val="24"/>
          <w:szCs w:val="24"/>
        </w:rPr>
        <w:t xml:space="preserve"> </w:t>
      </w:r>
      <w:r w:rsidR="003064DB" w:rsidRPr="003064DB">
        <w:rPr>
          <w:rFonts w:ascii="Times New Roman" w:hAnsi="Times New Roman" w:cs="Times New Roman"/>
          <w:sz w:val="24"/>
          <w:szCs w:val="24"/>
          <w:u w:val="single"/>
        </w:rPr>
        <w:t>article</w:t>
      </w:r>
      <w:r w:rsidR="003064DB" w:rsidRPr="003064DB">
        <w:rPr>
          <w:rFonts w:ascii="Times New Roman" w:hAnsi="Times New Roman" w:cs="Times New Roman"/>
          <w:sz w:val="24"/>
          <w:szCs w:val="24"/>
        </w:rPr>
        <w:t xml:space="preserve"> / </w:t>
      </w:r>
      <w:r w:rsidR="003064DB" w:rsidRPr="003064DB">
        <w:rPr>
          <w:rFonts w:ascii="Times New Roman" w:hAnsi="Times New Roman" w:cs="Times New Roman"/>
          <w:sz w:val="24"/>
          <w:szCs w:val="24"/>
          <w:u w:val="double"/>
        </w:rPr>
        <w:t>chapter</w:t>
      </w:r>
      <w:r w:rsidR="000C109F">
        <w:rPr>
          <w:rFonts w:ascii="Times New Roman" w:hAnsi="Times New Roman" w:cs="Times New Roman"/>
          <w:sz w:val="24"/>
          <w:szCs w:val="24"/>
        </w:rPr>
        <w:t xml:space="preserve"> ]</w:t>
      </w:r>
      <w:r w:rsidR="003064DB" w:rsidRPr="003064DB">
        <w:rPr>
          <w:rFonts w:ascii="Times New Roman" w:hAnsi="Times New Roman" w:cs="Times New Roman"/>
          <w:sz w:val="24"/>
          <w:szCs w:val="24"/>
        </w:rPr>
        <w:t xml:space="preserve"> </w:t>
      </w:r>
      <w:r>
        <w:rPr>
          <w:rFonts w:ascii="Times New Roman" w:hAnsi="Times New Roman" w:cs="Times New Roman"/>
          <w:sz w:val="24"/>
          <w:szCs w:val="24"/>
        </w:rPr>
        <w:t xml:space="preserve">may, in the discretion of the </w:t>
      </w:r>
      <w:r>
        <w:rPr>
          <w:rFonts w:cs="Times New Roman"/>
        </w:rPr>
        <w:t>[</w:t>
      </w:r>
      <w:r w:rsidR="000C109F">
        <w:rPr>
          <w:rFonts w:cs="Times New Roman"/>
        </w:rPr>
        <w:t xml:space="preserve"> </w:t>
      </w:r>
      <w:r w:rsidR="001024EA" w:rsidRPr="0042158C">
        <w:rPr>
          <w:rFonts w:ascii="Times New Roman" w:hAnsi="Times New Roman" w:cs="Times New Roman"/>
          <w:i/>
          <w:sz w:val="24"/>
          <w:szCs w:val="24"/>
        </w:rPr>
        <w:t>Name of Prosecuting Body or Officer (e.g. City Prosecutor or District Attorney)</w:t>
      </w:r>
      <w:r w:rsidR="001024EA">
        <w:t xml:space="preserve"> </w:t>
      </w:r>
      <w:r>
        <w:rPr>
          <w:rFonts w:cs="Times New Roman"/>
        </w:rPr>
        <w:t>]</w:t>
      </w:r>
      <w:r w:rsidR="00624794" w:rsidRPr="003064DB">
        <w:rPr>
          <w:rFonts w:ascii="Times New Roman" w:hAnsi="Times New Roman" w:cs="Times New Roman"/>
          <w:sz w:val="24"/>
          <w:szCs w:val="24"/>
        </w:rPr>
        <w:t xml:space="preserve">, be prosecuted as </w:t>
      </w:r>
      <w:r w:rsidR="003064DB" w:rsidRPr="003064DB">
        <w:rPr>
          <w:rFonts w:ascii="Times New Roman" w:hAnsi="Times New Roman" w:cs="Times New Roman"/>
          <w:sz w:val="24"/>
          <w:szCs w:val="24"/>
        </w:rPr>
        <w:t xml:space="preserve">a criminal offense punishable by a fine not exceeding [ </w:t>
      </w:r>
      <w:r w:rsidR="003064DB" w:rsidRPr="000C109F">
        <w:rPr>
          <w:rFonts w:ascii="Times New Roman" w:hAnsi="Times New Roman" w:cs="Times New Roman"/>
          <w:sz w:val="24"/>
          <w:szCs w:val="24"/>
          <w:u w:val="single"/>
        </w:rPr>
        <w:t>five hundred dollars ($500.00)</w:t>
      </w:r>
      <w:r w:rsidR="003064DB" w:rsidRPr="003064DB">
        <w:rPr>
          <w:rFonts w:ascii="Times New Roman" w:hAnsi="Times New Roman" w:cs="Times New Roman"/>
          <w:sz w:val="24"/>
          <w:szCs w:val="24"/>
        </w:rPr>
        <w:t xml:space="preserve"> ] or imprisonment not exceeding [ </w:t>
      </w:r>
      <w:r w:rsidR="003064DB" w:rsidRPr="000C109F">
        <w:rPr>
          <w:rFonts w:ascii="Times New Roman" w:hAnsi="Times New Roman" w:cs="Times New Roman"/>
          <w:sz w:val="24"/>
          <w:szCs w:val="24"/>
          <w:u w:val="single"/>
        </w:rPr>
        <w:t>thirty (30)</w:t>
      </w:r>
      <w:r w:rsidR="003064DB" w:rsidRPr="003064DB">
        <w:rPr>
          <w:rFonts w:ascii="Times New Roman" w:hAnsi="Times New Roman" w:cs="Times New Roman"/>
          <w:sz w:val="24"/>
          <w:szCs w:val="24"/>
        </w:rPr>
        <w:t xml:space="preserve"> ] days in a jail or house of correction when the interests of justice so require.</w:t>
      </w:r>
    </w:p>
    <w:p w14:paraId="0A4BD6CF" w14:textId="2C1B7A67" w:rsidR="00975C57" w:rsidRDefault="00975C57" w:rsidP="00490C0A">
      <w:pPr>
        <w:pStyle w:val="commentsbox"/>
        <w:spacing w:line="260" w:lineRule="exact"/>
        <w:ind w:left="720" w:right="115"/>
      </w:pPr>
      <w:r w:rsidRPr="00FD5E57">
        <w:rPr>
          <w:b/>
          <w:caps/>
        </w:rPr>
        <w:t>comment:</w:t>
      </w:r>
      <w:r>
        <w:t xml:space="preserve"> Sometimes called a “wobbler,” this provision affords the prosecuting attorney discretion whether to pursue a violation as </w:t>
      </w:r>
      <w:r w:rsidR="00ED0C05">
        <w:t xml:space="preserve">a civil </w:t>
      </w:r>
      <w:r w:rsidR="00CB3437">
        <w:t>violation</w:t>
      </w:r>
      <w:r w:rsidR="00ED0C05">
        <w:t xml:space="preserve"> (punishable by a fine</w:t>
      </w:r>
      <w:r w:rsidR="00C12325">
        <w:t xml:space="preserve"> of</w:t>
      </w:r>
      <w:r w:rsidR="00ED0C05">
        <w:t xml:space="preserve"> up to $500) or as a criminal offense (punishable by a fine </w:t>
      </w:r>
      <w:r w:rsidR="00C12325">
        <w:t xml:space="preserve">of </w:t>
      </w:r>
      <w:r w:rsidR="00ED0C05">
        <w:t>up to $500 or imprisonment</w:t>
      </w:r>
      <w:r w:rsidR="00C12325">
        <w:t xml:space="preserve"> for</w:t>
      </w:r>
      <w:r w:rsidR="00ED0C05">
        <w:t xml:space="preserve"> up to 30 days). </w:t>
      </w:r>
      <w:r>
        <w:t xml:space="preserve">Alternatively, violations can be set as </w:t>
      </w:r>
      <w:r>
        <w:rPr>
          <w:i/>
        </w:rPr>
        <w:t>either</w:t>
      </w:r>
      <w:r>
        <w:t xml:space="preserve"> </w:t>
      </w:r>
      <w:r w:rsidR="00BA0E38">
        <w:t>a</w:t>
      </w:r>
      <w:r>
        <w:t xml:space="preserve"> </w:t>
      </w:r>
      <w:r w:rsidR="00ED0C05">
        <w:t>civil offense</w:t>
      </w:r>
      <w:r>
        <w:t xml:space="preserve"> or a </w:t>
      </w:r>
      <w:r w:rsidR="00ED0C05">
        <w:t>criminal offense</w:t>
      </w:r>
      <w:r>
        <w:t xml:space="preserve"> in all circumstances.</w:t>
      </w:r>
      <w:r w:rsidR="00ED0C05">
        <w:t xml:space="preserve"> Regardless of whether</w:t>
      </w:r>
      <w:r w:rsidR="00C12325">
        <w:t xml:space="preserve"> </w:t>
      </w:r>
      <w:r w:rsidR="00384204">
        <w:t>a</w:t>
      </w:r>
      <w:r w:rsidR="00C12325">
        <w:t xml:space="preserve"> violation is</w:t>
      </w:r>
      <w:r w:rsidR="00ED0C05">
        <w:t xml:space="preserve"> treated as a civil or criminal offense, the penalty for each </w:t>
      </w:r>
      <w:r w:rsidR="00C12325">
        <w:t xml:space="preserve">violation </w:t>
      </w:r>
      <w:r w:rsidR="00ED0C05">
        <w:t>cannot exceed either a $500 fine or 30 days imprisonment.</w:t>
      </w:r>
      <w:r w:rsidR="00BE3367">
        <w:t xml:space="preserve"> </w:t>
      </w:r>
      <w:r w:rsidR="0042158C">
        <w:t>R.I. Gen.</w:t>
      </w:r>
      <w:r w:rsidR="00ED0C05">
        <w:t xml:space="preserve"> Laws § 45-6-2.</w:t>
      </w:r>
    </w:p>
    <w:p w14:paraId="5953BCFA" w14:textId="77777777" w:rsidR="0038111C" w:rsidRPr="00ED0C05" w:rsidRDefault="0038111C" w:rsidP="00ED0C05"/>
    <w:p w14:paraId="7C85A400" w14:textId="55A9AF3F" w:rsidR="0038111C" w:rsidRPr="00B50474" w:rsidRDefault="000C4F87" w:rsidP="00F416A9">
      <w:pPr>
        <w:pStyle w:val="ListParagraph"/>
        <w:numPr>
          <w:ilvl w:val="0"/>
          <w:numId w:val="3"/>
        </w:numPr>
        <w:spacing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It shall be an affirmative defense to a violation of this ordinance </w:t>
      </w:r>
      <w:r w:rsidR="0038111C" w:rsidRPr="003064DB">
        <w:rPr>
          <w:rFonts w:ascii="Times New Roman" w:hAnsi="Times New Roman" w:cs="Times New Roman"/>
          <w:sz w:val="24"/>
          <w:szCs w:val="24"/>
        </w:rPr>
        <w:t xml:space="preserve">that </w:t>
      </w:r>
      <w:r w:rsidR="004802E4" w:rsidRPr="003064DB">
        <w:rPr>
          <w:rFonts w:ascii="Times New Roman" w:hAnsi="Times New Roman" w:cs="Times New Roman"/>
          <w:sz w:val="24"/>
          <w:szCs w:val="24"/>
        </w:rPr>
        <w:t xml:space="preserve">the </w:t>
      </w:r>
      <w:r w:rsidR="0038111C" w:rsidRPr="003064DB">
        <w:rPr>
          <w:rFonts w:ascii="Times New Roman" w:hAnsi="Times New Roman" w:cs="Times New Roman"/>
          <w:sz w:val="24"/>
          <w:szCs w:val="24"/>
        </w:rPr>
        <w:t>defendant</w:t>
      </w:r>
      <w:r w:rsidR="00624794" w:rsidRPr="003064DB">
        <w:rPr>
          <w:rFonts w:ascii="Times New Roman" w:hAnsi="Times New Roman" w:cs="Times New Roman"/>
          <w:sz w:val="24"/>
          <w:szCs w:val="24"/>
        </w:rPr>
        <w:t>,</w:t>
      </w:r>
      <w:r w:rsidR="0038111C" w:rsidRPr="003064DB">
        <w:rPr>
          <w:rFonts w:ascii="Times New Roman" w:hAnsi="Times New Roman" w:cs="Times New Roman"/>
          <w:sz w:val="24"/>
          <w:szCs w:val="24"/>
        </w:rPr>
        <w:t xml:space="preserve"> or </w:t>
      </w:r>
      <w:r w:rsidR="004802E4" w:rsidRPr="003064DB">
        <w:rPr>
          <w:rFonts w:ascii="Times New Roman" w:hAnsi="Times New Roman" w:cs="Times New Roman"/>
          <w:sz w:val="24"/>
          <w:szCs w:val="24"/>
        </w:rPr>
        <w:t xml:space="preserve">the defendant’s agent or </w:t>
      </w:r>
      <w:r w:rsidR="0038111C" w:rsidRPr="003064DB">
        <w:rPr>
          <w:rFonts w:ascii="Times New Roman" w:hAnsi="Times New Roman" w:cs="Times New Roman"/>
          <w:sz w:val="24"/>
          <w:szCs w:val="24"/>
        </w:rPr>
        <w:t>employee</w:t>
      </w:r>
      <w:r w:rsidR="00624794" w:rsidRPr="003064DB">
        <w:rPr>
          <w:rFonts w:ascii="Times New Roman" w:hAnsi="Times New Roman" w:cs="Times New Roman"/>
          <w:sz w:val="24"/>
          <w:szCs w:val="24"/>
        </w:rPr>
        <w:t>,</w:t>
      </w:r>
      <w:r w:rsidR="0038111C" w:rsidRPr="003064DB">
        <w:rPr>
          <w:rFonts w:ascii="Times New Roman" w:hAnsi="Times New Roman" w:cs="Times New Roman"/>
          <w:sz w:val="24"/>
          <w:szCs w:val="24"/>
        </w:rPr>
        <w:t xml:space="preserve"> demanded, was shown</w:t>
      </w:r>
      <w:r w:rsidR="004802E4" w:rsidRPr="003064DB">
        <w:rPr>
          <w:rFonts w:ascii="Times New Roman" w:hAnsi="Times New Roman" w:cs="Times New Roman"/>
          <w:sz w:val="24"/>
          <w:szCs w:val="24"/>
        </w:rPr>
        <w:t>,</w:t>
      </w:r>
      <w:r w:rsidR="0038111C" w:rsidRPr="003064DB">
        <w:rPr>
          <w:rFonts w:ascii="Times New Roman" w:hAnsi="Times New Roman" w:cs="Times New Roman"/>
          <w:sz w:val="24"/>
          <w:szCs w:val="24"/>
        </w:rPr>
        <w:t xml:space="preserve"> and </w:t>
      </w:r>
      <w:r w:rsidR="004802E4" w:rsidRPr="003064DB">
        <w:rPr>
          <w:rFonts w:ascii="Times New Roman" w:hAnsi="Times New Roman" w:cs="Times New Roman"/>
          <w:sz w:val="24"/>
          <w:szCs w:val="24"/>
        </w:rPr>
        <w:t>reasonably relied upon</w:t>
      </w:r>
      <w:r w:rsidR="00624794" w:rsidRPr="003064DB">
        <w:rPr>
          <w:rFonts w:ascii="Times New Roman" w:hAnsi="Times New Roman" w:cs="Times New Roman"/>
          <w:sz w:val="24"/>
          <w:szCs w:val="24"/>
        </w:rPr>
        <w:t xml:space="preserve"> </w:t>
      </w:r>
      <w:r w:rsidR="004802E4" w:rsidRPr="003064DB">
        <w:rPr>
          <w:rFonts w:ascii="Times New Roman" w:hAnsi="Times New Roman" w:cs="Times New Roman"/>
          <w:sz w:val="24"/>
          <w:szCs w:val="24"/>
        </w:rPr>
        <w:t xml:space="preserve">bona fide </w:t>
      </w:r>
      <w:r w:rsidR="0038111C" w:rsidRPr="003064DB">
        <w:rPr>
          <w:rFonts w:ascii="Times New Roman" w:hAnsi="Times New Roman" w:cs="Times New Roman"/>
          <w:sz w:val="24"/>
          <w:szCs w:val="24"/>
        </w:rPr>
        <w:t xml:space="preserve">evidence </w:t>
      </w:r>
      <w:r w:rsidR="004802E4" w:rsidRPr="003064DB">
        <w:rPr>
          <w:rFonts w:ascii="Times New Roman" w:hAnsi="Times New Roman" w:cs="Times New Roman"/>
          <w:sz w:val="24"/>
          <w:szCs w:val="24"/>
        </w:rPr>
        <w:t xml:space="preserve">that </w:t>
      </w:r>
      <w:r w:rsidR="00FD5CF3">
        <w:rPr>
          <w:rFonts w:ascii="Times New Roman" w:hAnsi="Times New Roman" w:cs="Times New Roman"/>
          <w:sz w:val="24"/>
          <w:szCs w:val="24"/>
        </w:rPr>
        <w:t>an</w:t>
      </w:r>
      <w:r w:rsidR="004802E4" w:rsidRPr="003064DB">
        <w:rPr>
          <w:rFonts w:ascii="Times New Roman" w:hAnsi="Times New Roman" w:cs="Times New Roman"/>
          <w:sz w:val="24"/>
          <w:szCs w:val="24"/>
        </w:rPr>
        <w:t xml:space="preserve"> individ</w:t>
      </w:r>
      <w:r w:rsidR="00624794" w:rsidRPr="003064DB">
        <w:rPr>
          <w:rFonts w:ascii="Times New Roman" w:hAnsi="Times New Roman" w:cs="Times New Roman"/>
          <w:sz w:val="24"/>
          <w:szCs w:val="24"/>
        </w:rPr>
        <w:t xml:space="preserve">ual </w:t>
      </w:r>
      <w:r w:rsidR="00384204">
        <w:rPr>
          <w:rFonts w:ascii="Times New Roman" w:hAnsi="Times New Roman" w:cs="Times New Roman"/>
          <w:sz w:val="24"/>
          <w:szCs w:val="24"/>
        </w:rPr>
        <w:t>was</w:t>
      </w:r>
      <w:r w:rsidR="00384204" w:rsidRPr="003064DB">
        <w:rPr>
          <w:rFonts w:ascii="Times New Roman" w:hAnsi="Times New Roman" w:cs="Times New Roman"/>
          <w:sz w:val="24"/>
          <w:szCs w:val="24"/>
        </w:rPr>
        <w:t xml:space="preserve"> </w:t>
      </w:r>
      <w:r w:rsidR="00624794" w:rsidRPr="003064DB">
        <w:rPr>
          <w:rFonts w:ascii="Times New Roman" w:hAnsi="Times New Roman" w:cs="Times New Roman"/>
          <w:sz w:val="24"/>
          <w:szCs w:val="24"/>
        </w:rPr>
        <w:t xml:space="preserve">at least 21 years of age. </w:t>
      </w:r>
      <w:r w:rsidR="0038111C" w:rsidRPr="003064DB">
        <w:rPr>
          <w:rFonts w:ascii="Times New Roman" w:hAnsi="Times New Roman" w:cs="Times New Roman"/>
          <w:sz w:val="24"/>
          <w:szCs w:val="24"/>
        </w:rPr>
        <w:t xml:space="preserve">For </w:t>
      </w:r>
      <w:r>
        <w:rPr>
          <w:rFonts w:ascii="Times New Roman" w:hAnsi="Times New Roman" w:cs="Times New Roman"/>
          <w:sz w:val="24"/>
          <w:szCs w:val="24"/>
        </w:rPr>
        <w:t>these purposes</w:t>
      </w:r>
      <w:r w:rsidR="0038111C" w:rsidRPr="003064DB">
        <w:rPr>
          <w:rFonts w:ascii="Times New Roman" w:hAnsi="Times New Roman" w:cs="Times New Roman"/>
          <w:sz w:val="24"/>
          <w:szCs w:val="24"/>
        </w:rPr>
        <w:t xml:space="preserve">, bona fide evidence </w:t>
      </w:r>
      <w:r w:rsidR="00624794" w:rsidRPr="003064DB">
        <w:rPr>
          <w:rFonts w:ascii="Times New Roman" w:hAnsi="Times New Roman" w:cs="Times New Roman"/>
          <w:sz w:val="24"/>
          <w:szCs w:val="24"/>
        </w:rPr>
        <w:t xml:space="preserve">that </w:t>
      </w:r>
      <w:r w:rsidR="00FD5CF3">
        <w:rPr>
          <w:rFonts w:ascii="Times New Roman" w:hAnsi="Times New Roman" w:cs="Times New Roman"/>
          <w:sz w:val="24"/>
          <w:szCs w:val="24"/>
        </w:rPr>
        <w:t>an</w:t>
      </w:r>
      <w:r w:rsidR="00624794" w:rsidRPr="003064DB">
        <w:rPr>
          <w:rFonts w:ascii="Times New Roman" w:hAnsi="Times New Roman" w:cs="Times New Roman"/>
          <w:sz w:val="24"/>
          <w:szCs w:val="24"/>
        </w:rPr>
        <w:t xml:space="preserve"> individual is at least 21 years of age is a document issued by a federal, state, county, or municipal government, or subdivision or agency of th</w:t>
      </w:r>
      <w:r w:rsidR="00384204">
        <w:rPr>
          <w:rFonts w:ascii="Times New Roman" w:hAnsi="Times New Roman" w:cs="Times New Roman"/>
          <w:sz w:val="24"/>
          <w:szCs w:val="24"/>
        </w:rPr>
        <w:t>ose governments</w:t>
      </w:r>
      <w:r w:rsidR="00624794" w:rsidRPr="003064DB">
        <w:rPr>
          <w:rFonts w:ascii="Times New Roman" w:hAnsi="Times New Roman" w:cs="Times New Roman"/>
          <w:sz w:val="24"/>
          <w:szCs w:val="24"/>
        </w:rPr>
        <w:t xml:space="preserve"> </w:t>
      </w:r>
      <w:r w:rsidR="00B50474">
        <w:rPr>
          <w:rFonts w:ascii="Times New Roman" w:hAnsi="Times New Roman" w:cs="Times New Roman"/>
          <w:sz w:val="24"/>
          <w:szCs w:val="24"/>
        </w:rPr>
        <w:t xml:space="preserve">that includes a photo and the date of birth of the individual, </w:t>
      </w:r>
      <w:r w:rsidR="00624794" w:rsidRPr="00B50474">
        <w:rPr>
          <w:rFonts w:ascii="Times New Roman" w:hAnsi="Times New Roman" w:cs="Times New Roman"/>
          <w:sz w:val="24"/>
          <w:szCs w:val="24"/>
        </w:rPr>
        <w:t>including, but not limited to, a motor vehicle operator’s license, a registration certificate issued under the federal Selective Service Act, or an identification card issued to a member of the Armed Forces.</w:t>
      </w:r>
    </w:p>
    <w:p w14:paraId="06F0B171" w14:textId="69B4D8DA" w:rsidR="00ED0C05" w:rsidRDefault="00ED0C05" w:rsidP="00490C0A">
      <w:pPr>
        <w:pStyle w:val="commentsbox"/>
        <w:spacing w:line="260" w:lineRule="exact"/>
        <w:ind w:left="720" w:right="115"/>
      </w:pPr>
      <w:r w:rsidRPr="00FD5E57">
        <w:rPr>
          <w:b/>
          <w:caps/>
        </w:rPr>
        <w:t>comment:</w:t>
      </w:r>
      <w:r>
        <w:t xml:space="preserve"> This provision </w:t>
      </w:r>
      <w:r w:rsidR="004F42FA">
        <w:t xml:space="preserve">allows a person to avoid penalties </w:t>
      </w:r>
      <w:r>
        <w:t>for violating this ordinanc</w:t>
      </w:r>
      <w:r w:rsidR="00B50474">
        <w:t>e if they prove that either they</w:t>
      </w:r>
      <w:r w:rsidR="00384204">
        <w:t>,</w:t>
      </w:r>
      <w:r w:rsidR="00B50474">
        <w:t xml:space="preserve"> their</w:t>
      </w:r>
      <w:r>
        <w:t xml:space="preserve"> employee</w:t>
      </w:r>
      <w:r w:rsidR="00384204">
        <w:t>,</w:t>
      </w:r>
      <w:r>
        <w:t xml:space="preserve"> or </w:t>
      </w:r>
      <w:r w:rsidR="00384204">
        <w:t xml:space="preserve">their </w:t>
      </w:r>
      <w:r>
        <w:t>agent reasonably relied upon identification provided by the purchaser indicating that the purchaser was at least 21 years old.</w:t>
      </w:r>
      <w:r w:rsidR="00B50474">
        <w:t xml:space="preserve"> The provided identification must be issued by a federal, state, county, or municipal government, or subdivision or agency of those governments, and </w:t>
      </w:r>
      <w:r w:rsidR="004F42FA">
        <w:t xml:space="preserve">must </w:t>
      </w:r>
      <w:r w:rsidR="00B50474">
        <w:t>contain a photo and the date of birth of the individual presenting the identification.</w:t>
      </w:r>
    </w:p>
    <w:p w14:paraId="6EE096F3" w14:textId="6BE61B27" w:rsidR="00295A8E" w:rsidRDefault="00295A8E" w:rsidP="00295A8E"/>
    <w:p w14:paraId="40035A5A" w14:textId="244C0920" w:rsidR="003B0552" w:rsidRDefault="00DC491F" w:rsidP="00FA53E0">
      <w:pPr>
        <w:pStyle w:val="commentsbox"/>
        <w:spacing w:line="260" w:lineRule="exact"/>
        <w:ind w:left="720" w:right="115"/>
      </w:pPr>
      <w:r w:rsidRPr="00FD5E57">
        <w:rPr>
          <w:b/>
          <w:caps/>
        </w:rPr>
        <w:t>comment</w:t>
      </w:r>
      <w:r w:rsidR="00CF6D45">
        <w:rPr>
          <w:b/>
          <w:caps/>
        </w:rPr>
        <w:t xml:space="preserve"> ON youth </w:t>
      </w:r>
      <w:r w:rsidR="003B0552">
        <w:rPr>
          <w:b/>
          <w:caps/>
        </w:rPr>
        <w:t>Purchase, use, and possession</w:t>
      </w:r>
      <w:r w:rsidRPr="00FD5E57">
        <w:rPr>
          <w:b/>
          <w:caps/>
        </w:rPr>
        <w:t>:</w:t>
      </w:r>
      <w:r>
        <w:t xml:space="preserve"> </w:t>
      </w:r>
      <w:r w:rsidR="00D54D73">
        <w:t>This Model Ordinance does not prohibit or penalize the purchase, use, or possession (“PUP”) of tobacco products or paraphernalia. Instead, the Model Ordinance prohibits only the selling, giving, or furnishing of a tobacco product or paraphernalia to an individual under 21 and penalizes tobacco retailers who violate this prohibition.</w:t>
      </w:r>
      <w:r w:rsidR="00D54D73">
        <w:br/>
      </w:r>
      <w:r w:rsidR="00D54D73">
        <w:br/>
        <w:t>Well-enforced laws targeting retailers provide greater public health benefits than laws penalizing youth for PUP.</w:t>
      </w:r>
      <w:r w:rsidR="00D54D73">
        <w:rPr>
          <w:rStyle w:val="EndnoteReference"/>
        </w:rPr>
        <w:endnoteReference w:id="31"/>
      </w:r>
      <w:r w:rsidR="00D54D73">
        <w:t xml:space="preserve">  Studies show that PUP laws only minimally affect tobacco use, and prioritizing enforcement of other tobacco control laws can more effectively reduce youth access to tobacco.</w:t>
      </w:r>
      <w:r w:rsidR="00D54D73">
        <w:rPr>
          <w:rStyle w:val="EndnoteReference"/>
        </w:rPr>
        <w:endnoteReference w:id="32"/>
      </w:r>
      <w:r w:rsidR="00D54D73">
        <w:t xml:space="preserve">  Finally, PUP laws raise significant equity concerns because their enforcement often disproportionately affects youth of color.</w:t>
      </w:r>
      <w:r w:rsidR="00D54D73">
        <w:rPr>
          <w:rStyle w:val="EndnoteReference"/>
        </w:rPr>
        <w:endnoteReference w:id="33"/>
      </w:r>
      <w:r w:rsidR="00D54D73">
        <w:t xml:space="preserve"> </w:t>
      </w:r>
      <w:r w:rsidR="00D54D73">
        <w:br/>
      </w:r>
      <w:r w:rsidR="00D54D73">
        <w:br/>
        <w:t>For the reasons explained above, some communities have chosen to repeal their PUP laws. This Model Ordinance does not include provisions for repealing an existing PUP law. However, communities looking to adopt this Model Ordinance should determine whether they have a PUP law and, if so, how they should address youth PUP in their local ordinance.</w:t>
      </w:r>
      <w:r w:rsidR="00D54D73">
        <w:br/>
      </w:r>
      <w:r w:rsidR="00D54D73">
        <w:br/>
        <w:t>This Model Ordinance does not exempt individuals under 21 from liability for purchasing tobacco products or paraphernalia during youth decoy (“sting”) operations. Such exceptions are unnecessary in jurisdictions without existing PUP laws because this Model Ordinance does not prohibit or penalize the PUP of tobacco products or paraphernalia. Moreover, Rhode Island state law prohibits only individuals under age 18 from purchasing tobacco products. Therefore, individuals aged 18 to 20 who purchase tobacco products or paraphernalia during enforcement operations will not be subject to criminal or civil liability under either this Model Ordinance or state law. However, jurisdictions with PUP laws that apply to 18, 19, and 20-year-olds should consider repealing their PUP law. Alternatively, these jurisdictions may provide immunity to those individuals when they participate in enforcement operations.</w:t>
      </w:r>
    </w:p>
    <w:p w14:paraId="56BAFFEE" w14:textId="77777777" w:rsidR="00DC491F" w:rsidRPr="00295A8E" w:rsidRDefault="00DC491F" w:rsidP="00295A8E"/>
    <w:p w14:paraId="390BCC75" w14:textId="77777777" w:rsidR="00295A8E" w:rsidRDefault="00295A8E">
      <w:pPr>
        <w:rPr>
          <w:b/>
        </w:rPr>
      </w:pPr>
    </w:p>
    <w:p w14:paraId="2570DBDA" w14:textId="33CC9D64" w:rsidR="0038111C" w:rsidRPr="003064DB" w:rsidRDefault="0038111C">
      <w:pPr>
        <w:rPr>
          <w:b/>
        </w:rPr>
      </w:pPr>
      <w:r w:rsidRPr="003064DB">
        <w:rPr>
          <w:b/>
        </w:rPr>
        <w:t xml:space="preserve">Sec. [ </w:t>
      </w:r>
      <w:r w:rsidRPr="003064DB">
        <w:rPr>
          <w:b/>
          <w:u w:val="single"/>
        </w:rPr>
        <w:tab/>
      </w:r>
      <w:r w:rsidRPr="003064DB">
        <w:rPr>
          <w:b/>
          <w:u w:val="single"/>
        </w:rPr>
        <w:tab/>
      </w:r>
      <w:r w:rsidRPr="003064DB">
        <w:rPr>
          <w:b/>
        </w:rPr>
        <w:t xml:space="preserve"> </w:t>
      </w:r>
      <w:r w:rsidR="00C22496">
        <w:rPr>
          <w:b/>
        </w:rPr>
        <w:t>(*4</w:t>
      </w:r>
      <w:r w:rsidRPr="003064DB">
        <w:rPr>
          <w:b/>
        </w:rPr>
        <w:t xml:space="preserve">) ]. </w:t>
      </w:r>
      <w:r w:rsidRPr="00C22496">
        <w:rPr>
          <w:rFonts w:ascii="Times New Roman Bold" w:hAnsi="Times New Roman Bold"/>
          <w:b/>
          <w:caps/>
        </w:rPr>
        <w:t>Severability</w:t>
      </w:r>
    </w:p>
    <w:p w14:paraId="75AF06C5" w14:textId="77777777" w:rsidR="0038111C" w:rsidRPr="003064DB" w:rsidRDefault="0038111C"/>
    <w:p w14:paraId="56A3A5D5" w14:textId="4F17A15C" w:rsidR="003064DB" w:rsidRPr="003064DB" w:rsidRDefault="003064DB" w:rsidP="00F416A9">
      <w:pPr>
        <w:pStyle w:val="BasicParagraph"/>
        <w:spacing w:after="160"/>
        <w:rPr>
          <w:rFonts w:cs="Times New Roman"/>
        </w:rPr>
      </w:pPr>
      <w:r w:rsidRPr="003064DB">
        <w:rPr>
          <w:rFonts w:cs="Times New Roman"/>
        </w:rPr>
        <w:t>If any section, subsection, subdivision, paragraph, sentence, clause</w:t>
      </w:r>
      <w:r w:rsidR="006562E3">
        <w:rPr>
          <w:rFonts w:cs="Times New Roman"/>
        </w:rPr>
        <w:t>,</w:t>
      </w:r>
      <w:r w:rsidRPr="003064DB">
        <w:rPr>
          <w:rFonts w:cs="Times New Roman"/>
        </w:rPr>
        <w:t xml:space="preserve"> or phrase of this Ordinance, or its application to any person or circumstance, is for any reason held to be invalid or unenforceable, such invalidity or unenforceability shall not affect the validity or enforceability of the remaining sections, subsections, subdivisions, paragraphs, sentences, clauses</w:t>
      </w:r>
      <w:r w:rsidR="006562E3">
        <w:rPr>
          <w:rFonts w:cs="Times New Roman"/>
        </w:rPr>
        <w:t>,</w:t>
      </w:r>
      <w:r w:rsidRPr="003064DB">
        <w:rPr>
          <w:rFonts w:cs="Times New Roman"/>
        </w:rPr>
        <w:t xml:space="preserve"> or phrases of this Ordinance, or its application to any othe</w:t>
      </w:r>
      <w:r w:rsidR="0013520E">
        <w:rPr>
          <w:rFonts w:cs="Times New Roman"/>
        </w:rPr>
        <w:t>r person or circumstance. The [</w:t>
      </w:r>
      <w:r w:rsidR="001024EA">
        <w:rPr>
          <w:rFonts w:cs="Times New Roman"/>
        </w:rPr>
        <w:t xml:space="preserve"> </w:t>
      </w:r>
      <w:r w:rsidR="001024EA" w:rsidRPr="0011338E">
        <w:rPr>
          <w:i/>
        </w:rPr>
        <w:t xml:space="preserve">Name of City/Town’s </w:t>
      </w:r>
      <w:r w:rsidR="001024EA">
        <w:rPr>
          <w:i/>
        </w:rPr>
        <w:t>Legislative Body</w:t>
      </w:r>
      <w:r w:rsidR="00206E32">
        <w:rPr>
          <w:rFonts w:cs="Times New Roman"/>
        </w:rPr>
        <w:t xml:space="preserve"> </w:t>
      </w:r>
      <w:r w:rsidR="0013520E">
        <w:rPr>
          <w:rFonts w:cs="Times New Roman"/>
        </w:rPr>
        <w:t>] of the [</w:t>
      </w:r>
      <w:r w:rsidR="000C109F">
        <w:rPr>
          <w:rFonts w:cs="Times New Roman"/>
        </w:rPr>
        <w:t xml:space="preserve"> </w:t>
      </w:r>
      <w:r w:rsidRPr="003064DB">
        <w:rPr>
          <w:rFonts w:cs="Times New Roman"/>
          <w:u w:val="single"/>
        </w:rPr>
        <w:t>City</w:t>
      </w:r>
      <w:r w:rsidRPr="003064DB">
        <w:rPr>
          <w:rFonts w:cs="Times New Roman"/>
        </w:rPr>
        <w:t xml:space="preserve"> / </w:t>
      </w:r>
      <w:r>
        <w:rPr>
          <w:rFonts w:cs="Times New Roman"/>
          <w:u w:val="double"/>
        </w:rPr>
        <w:t>Town</w:t>
      </w:r>
      <w:r w:rsidR="000C109F">
        <w:rPr>
          <w:rFonts w:cs="Times New Roman"/>
        </w:rPr>
        <w:t xml:space="preserve"> ]</w:t>
      </w:r>
      <w:r w:rsidR="0013520E">
        <w:rPr>
          <w:rFonts w:cs="Times New Roman"/>
        </w:rPr>
        <w:t xml:space="preserve"> of [</w:t>
      </w:r>
      <w:r w:rsidR="000C109F">
        <w:rPr>
          <w:rFonts w:cs="Times New Roman"/>
        </w:rPr>
        <w:t xml:space="preserve"> </w:t>
      </w:r>
      <w:r w:rsidR="001024EA" w:rsidRPr="001024EA">
        <w:rPr>
          <w:i/>
        </w:rPr>
        <w:t>Name of City/Town</w:t>
      </w:r>
      <w:r w:rsidR="001024EA">
        <w:rPr>
          <w:rFonts w:cs="Times New Roman"/>
        </w:rPr>
        <w:t xml:space="preserve"> </w:t>
      </w:r>
      <w:r w:rsidR="0013520E">
        <w:rPr>
          <w:rFonts w:cs="Times New Roman"/>
        </w:rPr>
        <w:t>]</w:t>
      </w:r>
      <w:r w:rsidRPr="003064DB">
        <w:rPr>
          <w:rFonts w:cs="Times New Roman"/>
        </w:rPr>
        <w:t xml:space="preserve"> hereby declares that it would have adopted each section, subsection, subdivision, paragraph, sentence, clause</w:t>
      </w:r>
      <w:r w:rsidR="006562E3">
        <w:rPr>
          <w:rFonts w:cs="Times New Roman"/>
        </w:rPr>
        <w:t>,</w:t>
      </w:r>
      <w:r w:rsidRPr="003064DB">
        <w:rPr>
          <w:rFonts w:cs="Times New Roman"/>
        </w:rPr>
        <w:t xml:space="preserve"> or phrase hereof, irrespective of the fact that any one or more other sections, subsec</w:t>
      </w:r>
      <w:r w:rsidRPr="003064DB">
        <w:rPr>
          <w:rFonts w:cs="Times New Roman"/>
        </w:rPr>
        <w:softHyphen/>
        <w:t>tions, subdivisions, paragraphs, sentences, clauses</w:t>
      </w:r>
      <w:r w:rsidR="006562E3">
        <w:rPr>
          <w:rFonts w:cs="Times New Roman"/>
        </w:rPr>
        <w:t>,</w:t>
      </w:r>
      <w:r w:rsidRPr="003064DB">
        <w:rPr>
          <w:rFonts w:cs="Times New Roman"/>
        </w:rPr>
        <w:t xml:space="preserve"> or phrases hereof be declared invalid or unenforceable. </w:t>
      </w:r>
    </w:p>
    <w:p w14:paraId="5F1DB65E" w14:textId="77777777" w:rsidR="003064DB" w:rsidRPr="003064DB" w:rsidRDefault="003064DB" w:rsidP="003064DB">
      <w:pPr>
        <w:pStyle w:val="NormalText"/>
        <w:widowControl/>
        <w:suppressAutoHyphens/>
        <w:rPr>
          <w:szCs w:val="24"/>
        </w:rPr>
      </w:pPr>
    </w:p>
    <w:p w14:paraId="11EA13C3" w14:textId="6723968A" w:rsidR="003064DB" w:rsidRPr="00BA0E38" w:rsidRDefault="003064DB" w:rsidP="00490C0A">
      <w:pPr>
        <w:pStyle w:val="commentsbox"/>
        <w:spacing w:line="260" w:lineRule="exact"/>
        <w:ind w:left="0" w:right="115"/>
        <w:rPr>
          <w:rFonts w:cs="Arial"/>
          <w:szCs w:val="20"/>
        </w:rPr>
      </w:pPr>
      <w:r w:rsidRPr="00BA0E38">
        <w:rPr>
          <w:rFonts w:cs="Arial"/>
          <w:b/>
          <w:caps/>
          <w:szCs w:val="20"/>
        </w:rPr>
        <w:t>comment:</w:t>
      </w:r>
      <w:r w:rsidRPr="00BA0E38">
        <w:rPr>
          <w:rFonts w:cs="Arial"/>
          <w:b/>
          <w:smallCaps/>
          <w:szCs w:val="20"/>
        </w:rPr>
        <w:t xml:space="preserve"> </w:t>
      </w:r>
      <w:r w:rsidRPr="00BA0E38">
        <w:rPr>
          <w:rFonts w:cs="Arial"/>
          <w:szCs w:val="20"/>
        </w:rPr>
        <w:t>This is standard language. Often this boilerplate</w:t>
      </w:r>
      <w:r w:rsidR="00A41388">
        <w:rPr>
          <w:rFonts w:cs="Arial"/>
          <w:szCs w:val="20"/>
        </w:rPr>
        <w:t xml:space="preserve"> language</w:t>
      </w:r>
      <w:r w:rsidRPr="00BA0E38">
        <w:rPr>
          <w:rFonts w:cs="Arial"/>
          <w:szCs w:val="20"/>
        </w:rPr>
        <w:t xml:space="preserve"> is found at the end of an ordinance</w:t>
      </w:r>
      <w:r w:rsidR="00A41388">
        <w:rPr>
          <w:rFonts w:cs="Arial"/>
          <w:szCs w:val="20"/>
        </w:rPr>
        <w:t>,</w:t>
      </w:r>
      <w:r w:rsidRPr="00BA0E38">
        <w:rPr>
          <w:rFonts w:cs="Arial"/>
          <w:szCs w:val="20"/>
        </w:rPr>
        <w:t xml:space="preserve"> but its location is irrelevant. </w:t>
      </w:r>
    </w:p>
    <w:p w14:paraId="5C04CA9F" w14:textId="77777777" w:rsidR="003064DB" w:rsidRPr="003064DB" w:rsidRDefault="003064DB" w:rsidP="003064DB">
      <w:pPr>
        <w:pStyle w:val="NormalText"/>
        <w:widowControl/>
        <w:suppressAutoHyphens/>
        <w:ind w:firstLine="0"/>
        <w:rPr>
          <w:szCs w:val="24"/>
        </w:rPr>
      </w:pPr>
    </w:p>
    <w:p w14:paraId="3EDE2B1A" w14:textId="72763DF5" w:rsidR="0017360E" w:rsidRPr="003064DB" w:rsidRDefault="0017360E" w:rsidP="003064DB">
      <w:pPr>
        <w:spacing w:line="240" w:lineRule="auto"/>
      </w:pPr>
      <w:r w:rsidRPr="003064DB">
        <w:rPr>
          <w:b/>
        </w:rPr>
        <w:t xml:space="preserve">Sec. [ </w:t>
      </w:r>
      <w:r w:rsidRPr="003064DB">
        <w:rPr>
          <w:b/>
          <w:u w:val="single"/>
        </w:rPr>
        <w:tab/>
      </w:r>
      <w:r w:rsidRPr="003064DB">
        <w:rPr>
          <w:b/>
          <w:u w:val="single"/>
        </w:rPr>
        <w:tab/>
      </w:r>
      <w:r w:rsidRPr="003064DB">
        <w:rPr>
          <w:b/>
        </w:rPr>
        <w:t xml:space="preserve"> </w:t>
      </w:r>
      <w:r w:rsidR="00C22496">
        <w:rPr>
          <w:b/>
        </w:rPr>
        <w:t>(*5</w:t>
      </w:r>
      <w:r w:rsidRPr="003064DB">
        <w:rPr>
          <w:b/>
        </w:rPr>
        <w:t xml:space="preserve">) ]. </w:t>
      </w:r>
      <w:r w:rsidRPr="00C22496">
        <w:rPr>
          <w:rFonts w:ascii="Times New Roman Bold" w:hAnsi="Times New Roman Bold"/>
          <w:b/>
          <w:caps/>
        </w:rPr>
        <w:t>Effective Date</w:t>
      </w:r>
    </w:p>
    <w:p w14:paraId="6C284927" w14:textId="77777777" w:rsidR="0017360E" w:rsidRPr="003064DB" w:rsidRDefault="0017360E">
      <w:pPr>
        <w:rPr>
          <w:b/>
        </w:rPr>
      </w:pPr>
    </w:p>
    <w:p w14:paraId="608B4CA9" w14:textId="4B7F8CC3" w:rsidR="0017360E" w:rsidRDefault="0017360E" w:rsidP="00F416A9">
      <w:pPr>
        <w:spacing w:line="288" w:lineRule="auto"/>
      </w:pPr>
      <w:r w:rsidRPr="003064DB">
        <w:t xml:space="preserve">This ordinance shall take effect on </w:t>
      </w:r>
      <w:r w:rsidR="0013520E">
        <w:t>[</w:t>
      </w:r>
      <w:r w:rsidR="000C109F">
        <w:t xml:space="preserve"> </w:t>
      </w:r>
      <w:r w:rsidR="001024EA" w:rsidRPr="001024EA">
        <w:rPr>
          <w:i/>
        </w:rPr>
        <w:t>Date or Length of Time After Adoption</w:t>
      </w:r>
      <w:r w:rsidR="001024EA">
        <w:t xml:space="preserve"> </w:t>
      </w:r>
      <w:r w:rsidR="0013520E">
        <w:t>].</w:t>
      </w:r>
    </w:p>
    <w:p w14:paraId="10621D3E" w14:textId="77777777" w:rsidR="00574D4D" w:rsidRPr="003064DB" w:rsidRDefault="00574D4D" w:rsidP="00574D4D">
      <w:pPr>
        <w:pStyle w:val="NormalText"/>
        <w:widowControl/>
        <w:suppressAutoHyphens/>
        <w:ind w:firstLine="0"/>
        <w:rPr>
          <w:szCs w:val="24"/>
        </w:rPr>
      </w:pPr>
    </w:p>
    <w:p w14:paraId="1F088308" w14:textId="17D1C985" w:rsidR="00574D4D" w:rsidRPr="00BA0E38" w:rsidRDefault="00574D4D" w:rsidP="00490C0A">
      <w:pPr>
        <w:pStyle w:val="commentsbox"/>
        <w:spacing w:line="260" w:lineRule="exact"/>
        <w:ind w:left="0" w:right="115"/>
        <w:rPr>
          <w:rFonts w:cs="Arial"/>
          <w:szCs w:val="20"/>
        </w:rPr>
      </w:pPr>
      <w:r w:rsidRPr="00BA0E38">
        <w:rPr>
          <w:rFonts w:cs="Arial"/>
          <w:b/>
          <w:caps/>
          <w:szCs w:val="20"/>
        </w:rPr>
        <w:t>comment:</w:t>
      </w:r>
      <w:r w:rsidRPr="00BA0E38">
        <w:rPr>
          <w:rFonts w:cs="Arial"/>
          <w:b/>
          <w:smallCaps/>
          <w:szCs w:val="20"/>
        </w:rPr>
        <w:t xml:space="preserve"> </w:t>
      </w:r>
      <w:r w:rsidR="00CF6D45">
        <w:rPr>
          <w:rFonts w:cs="Arial"/>
          <w:szCs w:val="20"/>
        </w:rPr>
        <w:t>You should check s</w:t>
      </w:r>
      <w:r w:rsidR="008D399A">
        <w:rPr>
          <w:rFonts w:cs="Arial"/>
          <w:szCs w:val="20"/>
        </w:rPr>
        <w:t xml:space="preserve">tate and local </w:t>
      </w:r>
      <w:r w:rsidR="00CF6D45">
        <w:rPr>
          <w:rFonts w:cs="Arial"/>
          <w:szCs w:val="20"/>
        </w:rPr>
        <w:t xml:space="preserve">requirements on </w:t>
      </w:r>
      <w:r w:rsidR="008D399A">
        <w:rPr>
          <w:rFonts w:cs="Arial"/>
          <w:szCs w:val="20"/>
        </w:rPr>
        <w:t xml:space="preserve">the minimum </w:t>
      </w:r>
      <w:r w:rsidR="00B719AF">
        <w:rPr>
          <w:rFonts w:cs="Arial"/>
          <w:szCs w:val="20"/>
        </w:rPr>
        <w:t>amount</w:t>
      </w:r>
      <w:r w:rsidR="008D399A">
        <w:rPr>
          <w:rFonts w:cs="Arial"/>
          <w:szCs w:val="20"/>
        </w:rPr>
        <w:t xml:space="preserve"> of time between passing </w:t>
      </w:r>
      <w:r w:rsidR="00A41388">
        <w:rPr>
          <w:rFonts w:cs="Arial"/>
          <w:szCs w:val="20"/>
        </w:rPr>
        <w:t xml:space="preserve">an </w:t>
      </w:r>
      <w:r w:rsidR="008D399A">
        <w:rPr>
          <w:rFonts w:cs="Arial"/>
          <w:szCs w:val="20"/>
        </w:rPr>
        <w:t xml:space="preserve">ordinance and when </w:t>
      </w:r>
      <w:r w:rsidR="00A41388">
        <w:rPr>
          <w:rFonts w:cs="Arial"/>
          <w:szCs w:val="20"/>
        </w:rPr>
        <w:t xml:space="preserve">a </w:t>
      </w:r>
      <w:r w:rsidR="008D399A">
        <w:rPr>
          <w:rFonts w:cs="Arial"/>
          <w:szCs w:val="20"/>
        </w:rPr>
        <w:t xml:space="preserve">law can go into effect. Additionally, localities may wish to delay the </w:t>
      </w:r>
      <w:r w:rsidR="00CF6D45">
        <w:rPr>
          <w:rFonts w:cs="Arial"/>
          <w:szCs w:val="20"/>
        </w:rPr>
        <w:t xml:space="preserve">ordinance’s </w:t>
      </w:r>
      <w:r w:rsidR="008D399A">
        <w:rPr>
          <w:rFonts w:cs="Arial"/>
          <w:szCs w:val="20"/>
        </w:rPr>
        <w:t xml:space="preserve">effective date to allow sufficient time to educate retailers about the new requirements and to produce and distribute the required signage. </w:t>
      </w:r>
      <w:r w:rsidR="00BD0D52">
        <w:rPr>
          <w:rFonts w:cs="Arial"/>
          <w:szCs w:val="20"/>
        </w:rPr>
        <w:t xml:space="preserve">Several localities </w:t>
      </w:r>
      <w:r w:rsidR="00C25563">
        <w:rPr>
          <w:rFonts w:cs="Arial"/>
          <w:szCs w:val="20"/>
        </w:rPr>
        <w:t xml:space="preserve">who </w:t>
      </w:r>
      <w:r w:rsidR="00A41388">
        <w:rPr>
          <w:rFonts w:cs="Arial"/>
          <w:szCs w:val="20"/>
        </w:rPr>
        <w:t xml:space="preserve">that </w:t>
      </w:r>
      <w:r w:rsidR="00C25563">
        <w:rPr>
          <w:rFonts w:cs="Arial"/>
          <w:szCs w:val="20"/>
        </w:rPr>
        <w:t>recently</w:t>
      </w:r>
      <w:r w:rsidR="00BD0D52">
        <w:rPr>
          <w:rFonts w:cs="Arial"/>
          <w:szCs w:val="20"/>
        </w:rPr>
        <w:t xml:space="preserve"> implemented Tobacco 21 laws suggest a </w:t>
      </w:r>
      <w:r w:rsidR="00A41388">
        <w:rPr>
          <w:rFonts w:cs="Arial"/>
          <w:szCs w:val="20"/>
        </w:rPr>
        <w:t xml:space="preserve">delay of 6 </w:t>
      </w:r>
      <w:r w:rsidR="00BD0D52">
        <w:rPr>
          <w:rFonts w:cs="Arial"/>
          <w:szCs w:val="20"/>
        </w:rPr>
        <w:t xml:space="preserve">to </w:t>
      </w:r>
      <w:r w:rsidR="00A41388">
        <w:rPr>
          <w:rFonts w:cs="Arial"/>
          <w:szCs w:val="20"/>
        </w:rPr>
        <w:t xml:space="preserve">9 </w:t>
      </w:r>
      <w:r w:rsidR="00BD0D52">
        <w:rPr>
          <w:rFonts w:cs="Arial"/>
          <w:szCs w:val="20"/>
        </w:rPr>
        <w:t>month</w:t>
      </w:r>
      <w:r w:rsidR="00A41388">
        <w:rPr>
          <w:rFonts w:cs="Arial"/>
          <w:szCs w:val="20"/>
        </w:rPr>
        <w:t>s</w:t>
      </w:r>
      <w:r w:rsidR="00BD0D52">
        <w:rPr>
          <w:rFonts w:cs="Arial"/>
          <w:szCs w:val="20"/>
        </w:rPr>
        <w:t xml:space="preserve">, but the </w:t>
      </w:r>
      <w:r w:rsidR="00A41388">
        <w:rPr>
          <w:rFonts w:cs="Arial"/>
          <w:szCs w:val="20"/>
        </w:rPr>
        <w:t xml:space="preserve">specific </w:t>
      </w:r>
      <w:r w:rsidR="00BD0D52">
        <w:rPr>
          <w:rFonts w:cs="Arial"/>
          <w:szCs w:val="20"/>
        </w:rPr>
        <w:t xml:space="preserve">amount of time </w:t>
      </w:r>
      <w:r w:rsidR="00C25563">
        <w:rPr>
          <w:rFonts w:cs="Arial"/>
          <w:szCs w:val="20"/>
        </w:rPr>
        <w:t>required will</w:t>
      </w:r>
      <w:r w:rsidR="00BD0D52">
        <w:rPr>
          <w:rFonts w:cs="Arial"/>
          <w:szCs w:val="20"/>
        </w:rPr>
        <w:t xml:space="preserve"> </w:t>
      </w:r>
      <w:r w:rsidR="00A41388">
        <w:rPr>
          <w:rFonts w:cs="Arial"/>
          <w:szCs w:val="20"/>
        </w:rPr>
        <w:t>depend</w:t>
      </w:r>
      <w:r w:rsidR="00BD0D52">
        <w:rPr>
          <w:rFonts w:cs="Arial"/>
          <w:szCs w:val="20"/>
        </w:rPr>
        <w:t xml:space="preserve"> on a </w:t>
      </w:r>
      <w:r w:rsidR="00C25563">
        <w:rPr>
          <w:rFonts w:cs="Arial"/>
          <w:szCs w:val="20"/>
        </w:rPr>
        <w:t>locality’s needs and resources.</w:t>
      </w:r>
    </w:p>
    <w:p w14:paraId="008941F7" w14:textId="77777777" w:rsidR="00574D4D" w:rsidRPr="003064DB" w:rsidRDefault="00574D4D"/>
    <w:sectPr w:rsidR="00574D4D" w:rsidRPr="003064DB" w:rsidSect="004F299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8563E" w14:textId="77777777" w:rsidR="00FD244D" w:rsidRDefault="00FD244D" w:rsidP="00BD1AC7">
      <w:pPr>
        <w:spacing w:line="240" w:lineRule="auto"/>
      </w:pPr>
      <w:r>
        <w:separator/>
      </w:r>
    </w:p>
  </w:endnote>
  <w:endnote w:type="continuationSeparator" w:id="0">
    <w:p w14:paraId="5EBA4BE1" w14:textId="77777777" w:rsidR="00FD244D" w:rsidRDefault="00FD244D" w:rsidP="00BD1AC7">
      <w:pPr>
        <w:spacing w:line="240" w:lineRule="auto"/>
      </w:pPr>
      <w:r>
        <w:continuationSeparator/>
      </w:r>
    </w:p>
  </w:endnote>
  <w:endnote w:id="1">
    <w:p w14:paraId="29F8A579" w14:textId="2F9D03C4" w:rsidR="00384204" w:rsidRPr="007A52A4" w:rsidRDefault="00384204" w:rsidP="00D3213A">
      <w:pPr>
        <w:pStyle w:val="EndnoteText"/>
        <w:spacing w:line="288" w:lineRule="auto"/>
      </w:pPr>
      <w:r>
        <w:rPr>
          <w:rStyle w:val="EndnoteReference"/>
        </w:rPr>
        <w:endnoteRef/>
      </w:r>
      <w:r>
        <w:t xml:space="preserve"> </w:t>
      </w:r>
      <w:r>
        <w:rPr>
          <w:i/>
        </w:rPr>
        <w:t xml:space="preserve">See </w:t>
      </w:r>
      <w:r>
        <w:t>State ex rel. Town of Westerly v. Bradley, 877 A.2d 601 (R.I. 2005).</w:t>
      </w:r>
    </w:p>
  </w:endnote>
  <w:endnote w:id="2">
    <w:p w14:paraId="36A346BE" w14:textId="02CAD9B3" w:rsidR="00384204" w:rsidRDefault="00384204" w:rsidP="00D3213A">
      <w:pPr>
        <w:pStyle w:val="EndnoteText"/>
        <w:spacing w:line="288" w:lineRule="auto"/>
      </w:pPr>
      <w:r>
        <w:rPr>
          <w:rStyle w:val="EndnoteReference"/>
        </w:rPr>
        <w:endnoteRef/>
      </w:r>
      <w:r>
        <w:t xml:space="preserve"> R.I. Gen. Laws § 45-6-1</w:t>
      </w:r>
    </w:p>
  </w:endnote>
  <w:endnote w:id="3">
    <w:p w14:paraId="099F313E" w14:textId="77777777" w:rsidR="00384204" w:rsidRPr="00C22496" w:rsidRDefault="00384204" w:rsidP="009B00B2">
      <w:pPr>
        <w:pStyle w:val="EndnoteText"/>
        <w:spacing w:line="288" w:lineRule="auto"/>
      </w:pPr>
      <w:r>
        <w:rPr>
          <w:rStyle w:val="EndnoteReference"/>
        </w:rPr>
        <w:endnoteRef/>
      </w:r>
      <w:r>
        <w:t xml:space="preserve"> </w:t>
      </w:r>
      <w:r>
        <w:rPr>
          <w:i/>
        </w:rPr>
        <w:t xml:space="preserve">See </w:t>
      </w:r>
      <w:r>
        <w:t>July 2016 Memorandum titled “Local Authority for Tobacco 21 Policy in Rhode Island” from ChangeLab Solutions to Geri A. Guardino, Tobacco Control Program, Rhode Island Department of Health.</w:t>
      </w:r>
    </w:p>
  </w:endnote>
  <w:endnote w:id="4">
    <w:p w14:paraId="7E4F0A82" w14:textId="5E8B176D" w:rsidR="00384204" w:rsidRPr="00D3213A" w:rsidRDefault="00384204" w:rsidP="00D3213A">
      <w:pPr>
        <w:spacing w:line="288" w:lineRule="auto"/>
        <w:rPr>
          <w:i/>
          <w:color w:val="000000" w:themeColor="text1"/>
          <w:sz w:val="20"/>
          <w:szCs w:val="20"/>
        </w:rPr>
      </w:pPr>
      <w:r w:rsidRPr="00D3213A">
        <w:rPr>
          <w:rStyle w:val="EndnoteReference"/>
          <w:color w:val="000000" w:themeColor="text1"/>
          <w:sz w:val="20"/>
          <w:szCs w:val="20"/>
        </w:rPr>
        <w:endnoteRef/>
      </w:r>
      <w:r>
        <w:rPr>
          <w:color w:val="000000" w:themeColor="text1"/>
          <w:sz w:val="20"/>
          <w:szCs w:val="20"/>
        </w:rPr>
        <w:t xml:space="preserve"> </w:t>
      </w:r>
      <w:r w:rsidRPr="00D3213A">
        <w:rPr>
          <w:sz w:val="20"/>
          <w:szCs w:val="20"/>
        </w:rPr>
        <w:t xml:space="preserve">U.S. Department of Health and Human Services. 2014. </w:t>
      </w:r>
      <w:r w:rsidRPr="00D3213A">
        <w:rPr>
          <w:i/>
          <w:sz w:val="20"/>
          <w:szCs w:val="20"/>
        </w:rPr>
        <w:t>The Health Consequences of Smoking</w:t>
      </w:r>
      <w:r>
        <w:rPr>
          <w:i/>
          <w:sz w:val="20"/>
          <w:szCs w:val="20"/>
        </w:rPr>
        <w:t xml:space="preserve"> </w:t>
      </w:r>
      <w:r w:rsidRPr="00D3213A">
        <w:rPr>
          <w:i/>
          <w:sz w:val="20"/>
          <w:szCs w:val="20"/>
        </w:rPr>
        <w:t>— 50 Years of Progress. A Report of the Surgeon General, www.surgeongeneral.gov/library/reports/50-years-of-progress/full-report.pdf.</w:t>
      </w:r>
    </w:p>
  </w:endnote>
  <w:endnote w:id="5">
    <w:p w14:paraId="5E1DB03E" w14:textId="38F0C96F" w:rsidR="00384204" w:rsidRPr="001F46E5" w:rsidRDefault="00384204" w:rsidP="00D3213A">
      <w:pPr>
        <w:spacing w:line="288" w:lineRule="auto"/>
      </w:pPr>
      <w:r w:rsidRPr="00D3213A">
        <w:rPr>
          <w:rStyle w:val="EndnoteReference"/>
          <w:color w:val="000000" w:themeColor="text1"/>
          <w:sz w:val="20"/>
          <w:szCs w:val="20"/>
        </w:rPr>
        <w:endnoteRef/>
      </w:r>
      <w:r w:rsidRPr="00D3213A">
        <w:rPr>
          <w:sz w:val="20"/>
          <w:szCs w:val="20"/>
        </w:rPr>
        <w:t xml:space="preserve"> World Health Organization. 2007. </w:t>
      </w:r>
      <w:r w:rsidRPr="00D3213A">
        <w:rPr>
          <w:i/>
          <w:sz w:val="20"/>
          <w:szCs w:val="20"/>
        </w:rPr>
        <w:t xml:space="preserve">World Health Statistics 2007, Part 1: Ten Statistical Highlights in Global Public Health, p. 12, </w:t>
      </w:r>
      <w:hyperlink r:id="rId1" w:history="1">
        <w:r w:rsidRPr="00D3213A">
          <w:rPr>
            <w:rStyle w:val="Hyperlink"/>
            <w:i/>
            <w:color w:val="000000" w:themeColor="text1"/>
            <w:sz w:val="20"/>
            <w:szCs w:val="20"/>
          </w:rPr>
          <w:t>www.who.int/whosis/whostat2007_10highlights.pdf</w:t>
        </w:r>
      </w:hyperlink>
      <w:r w:rsidRPr="00D3213A">
        <w:rPr>
          <w:rStyle w:val="Hyperlink"/>
          <w:i/>
          <w:color w:val="000000" w:themeColor="text1"/>
          <w:sz w:val="20"/>
          <w:szCs w:val="20"/>
          <w:u w:val="none"/>
        </w:rPr>
        <w:t>.</w:t>
      </w:r>
      <w:r w:rsidRPr="00D3213A">
        <w:rPr>
          <w:i/>
        </w:rPr>
        <w:t xml:space="preserve"> </w:t>
      </w:r>
    </w:p>
  </w:endnote>
  <w:endnote w:id="6">
    <w:p w14:paraId="70673C13" w14:textId="3700BAD8" w:rsidR="00384204" w:rsidRDefault="00384204" w:rsidP="00F416A9">
      <w:pPr>
        <w:pStyle w:val="EndnoteText"/>
        <w:spacing w:line="288" w:lineRule="auto"/>
      </w:pPr>
      <w:r>
        <w:rPr>
          <w:rStyle w:val="EndnoteReference"/>
        </w:rPr>
        <w:endnoteRef/>
      </w:r>
      <w:r>
        <w:t xml:space="preserve"> </w:t>
      </w:r>
      <w:r w:rsidRPr="00C720A3">
        <w:t xml:space="preserve">U.S. Department of Health and Human Services. </w:t>
      </w:r>
      <w:r w:rsidRPr="00C720A3">
        <w:rPr>
          <w:i/>
          <w:iCs/>
        </w:rPr>
        <w:t>The Health Consequences of Smoking — 50 Years of Progress A Report of the Surgeon General Executive Summary</w:t>
      </w:r>
      <w:r w:rsidRPr="00C720A3">
        <w:t xml:space="preserve">.; 2014. Available at: </w:t>
      </w:r>
      <w:r w:rsidRPr="00C720A3">
        <w:rPr>
          <w:i/>
          <w:color w:val="00598D"/>
        </w:rPr>
        <w:t>www.surgeongeneral.gov/library/reports/50-years-of-progress/exec-summary.pdf</w:t>
      </w:r>
    </w:p>
  </w:endnote>
  <w:endnote w:id="7">
    <w:p w14:paraId="30EBB78E" w14:textId="33F30F8D" w:rsidR="00384204" w:rsidRDefault="00384204" w:rsidP="00F416A9">
      <w:pPr>
        <w:pStyle w:val="EndnoteText"/>
        <w:spacing w:line="288" w:lineRule="auto"/>
      </w:pPr>
      <w:r>
        <w:rPr>
          <w:rStyle w:val="EndnoteReference"/>
        </w:rPr>
        <w:endnoteRef/>
      </w:r>
      <w:r>
        <w:t xml:space="preserve"> Centers for Disease Control and Prevention. Prevention Status Reports 2013: Tobacco Use – Rhode Island. 2014. Available at: </w:t>
      </w:r>
      <w:r w:rsidRPr="000253DE">
        <w:t>http://www</w:t>
      </w:r>
      <w:r>
        <w:t>.cdc.gov/psr/2013/tobacco/2013/r</w:t>
      </w:r>
      <w:r w:rsidRPr="000253DE">
        <w:t>i-tobacco.pdf</w:t>
      </w:r>
    </w:p>
  </w:endnote>
  <w:endnote w:id="8">
    <w:p w14:paraId="64DDA300" w14:textId="48DE603B" w:rsidR="00384204" w:rsidRDefault="00384204" w:rsidP="00F416A9">
      <w:pPr>
        <w:pStyle w:val="EndnoteText"/>
        <w:spacing w:line="288" w:lineRule="auto"/>
      </w:pPr>
      <w:r>
        <w:rPr>
          <w:rStyle w:val="EndnoteReference"/>
        </w:rPr>
        <w:endnoteRef/>
      </w:r>
      <w:r>
        <w:t xml:space="preserve"> </w:t>
      </w:r>
      <w:r w:rsidRPr="000253DE">
        <w:t xml:space="preserve">Campaign for Tobacco-Free Kids. The Toll of Tobacco in </w:t>
      </w:r>
      <w:r>
        <w:t>Rhode Island</w:t>
      </w:r>
      <w:r w:rsidRPr="000253DE">
        <w:t xml:space="preserve">. </w:t>
      </w:r>
      <w:r>
        <w:t>2016</w:t>
      </w:r>
      <w:r w:rsidRPr="000253DE">
        <w:t>. Available at: https://www.tobaccofreekids.org/facts_issues/toll_us/</w:t>
      </w:r>
      <w:r>
        <w:t>rhode_island</w:t>
      </w:r>
      <w:r w:rsidRPr="000253DE">
        <w:t>.</w:t>
      </w:r>
    </w:p>
  </w:endnote>
  <w:endnote w:id="9">
    <w:p w14:paraId="04E00679" w14:textId="2002D07E" w:rsidR="00384204" w:rsidRDefault="00384204" w:rsidP="00F416A9">
      <w:pPr>
        <w:pStyle w:val="EndnoteText"/>
        <w:spacing w:line="288" w:lineRule="auto"/>
      </w:pPr>
      <w:r>
        <w:rPr>
          <w:rStyle w:val="EndnoteReference"/>
        </w:rPr>
        <w:endnoteRef/>
      </w:r>
      <w:r>
        <w:t xml:space="preserve"> According to the Campaign for Tobacco-Free Kids, 16,000 kids now under 18 and alive in Rhode Island will die prematurely from smoking. The U.S. Census estimates that in 2014 there were approximately 212,852 Rhode Island youth under age 18. Nearly one in thirteen was calculated by dividing the number of youth who will die prematurely (16,000) by the number of youth under age 18 in Rhode Islander (212,852).</w:t>
      </w:r>
    </w:p>
  </w:endnote>
  <w:endnote w:id="10">
    <w:p w14:paraId="0D24E666" w14:textId="4E1F658A" w:rsidR="00384204" w:rsidRDefault="00384204" w:rsidP="00F416A9">
      <w:pPr>
        <w:pStyle w:val="EndnoteText"/>
        <w:spacing w:line="288" w:lineRule="auto"/>
      </w:pPr>
      <w:r>
        <w:rPr>
          <w:rStyle w:val="EndnoteReference"/>
        </w:rPr>
        <w:endnoteRef/>
      </w:r>
      <w:r>
        <w:t xml:space="preserve"> </w:t>
      </w:r>
      <w:r w:rsidRPr="000253DE">
        <w:t xml:space="preserve">U.S. Census. Annual Estimates of the Resident Population for Selected Age Groups by Sex for the United States, States, Counties, and Puerto Rico Commonwealth and Municipios: April 1, 2010 to July 1, 2014. 2015. Available at: </w:t>
      </w:r>
      <w:r w:rsidRPr="00977C5F">
        <w:t>http://factfinder.census.gov/bkmk/table/1.0/en/PEP/2014/PEPAGESEX/0400000US44</w:t>
      </w:r>
    </w:p>
  </w:endnote>
  <w:endnote w:id="11">
    <w:p w14:paraId="4A19FB0B" w14:textId="7663B6D6" w:rsidR="00384204" w:rsidRDefault="00384204" w:rsidP="00F416A9">
      <w:pPr>
        <w:pStyle w:val="EndnoteText"/>
        <w:spacing w:line="288" w:lineRule="auto"/>
      </w:pPr>
      <w:r>
        <w:rPr>
          <w:rStyle w:val="EndnoteReference"/>
        </w:rPr>
        <w:endnoteRef/>
      </w:r>
      <w:r>
        <w:t xml:space="preserve"> </w:t>
      </w:r>
      <w:r w:rsidRPr="000253DE">
        <w:t xml:space="preserve">Campaign for Tobacco-Free Kids. The Toll of Tobacco in </w:t>
      </w:r>
      <w:r>
        <w:t>Rhode Island</w:t>
      </w:r>
      <w:r w:rsidRPr="000253DE">
        <w:t xml:space="preserve">. </w:t>
      </w:r>
      <w:r>
        <w:t>2016</w:t>
      </w:r>
      <w:r w:rsidRPr="000253DE">
        <w:t>. Available at: https://www.tobaccofreekids.org/facts_issues/toll_us/</w:t>
      </w:r>
      <w:r>
        <w:t>rhode_island</w:t>
      </w:r>
      <w:r w:rsidRPr="000253DE">
        <w:t>.</w:t>
      </w:r>
    </w:p>
  </w:endnote>
  <w:endnote w:id="12">
    <w:p w14:paraId="07F1FA6C" w14:textId="3B813E3A" w:rsidR="00384204" w:rsidRDefault="00384204" w:rsidP="00F416A9">
      <w:pPr>
        <w:pStyle w:val="EndnoteText"/>
        <w:spacing w:line="288" w:lineRule="auto"/>
      </w:pPr>
      <w:r>
        <w:rPr>
          <w:rStyle w:val="EndnoteReference"/>
        </w:rPr>
        <w:endnoteRef/>
      </w:r>
      <w:r>
        <w:t xml:space="preserve"> </w:t>
      </w:r>
      <w:r w:rsidRPr="000253DE">
        <w:t>U.S. Surgeon General. Factsheet</w:t>
      </w:r>
      <w:r w:rsidRPr="00C720A3">
        <w:t xml:space="preserve">: The Health Consequences of Smoking—50 Years of Progress: A Report of the Surgeon General. </w:t>
      </w:r>
      <w:r w:rsidRPr="00C720A3">
        <w:rPr>
          <w:i/>
          <w:iCs/>
        </w:rPr>
        <w:t>2014</w:t>
      </w:r>
      <w:r w:rsidRPr="00C720A3">
        <w:t xml:space="preserve">. Available at: </w:t>
      </w:r>
      <w:r w:rsidRPr="00C720A3">
        <w:rPr>
          <w:i/>
          <w:color w:val="00598D"/>
        </w:rPr>
        <w:t>www.surgeongeneral.gov/library/reports/50-years-of-progress/fact-sheet.html.</w:t>
      </w:r>
    </w:p>
  </w:endnote>
  <w:endnote w:id="13">
    <w:p w14:paraId="45C121CF" w14:textId="3E02986A" w:rsidR="00384204" w:rsidRDefault="00384204" w:rsidP="00F416A9">
      <w:pPr>
        <w:pStyle w:val="EndnoteText"/>
        <w:spacing w:line="288" w:lineRule="auto"/>
      </w:pPr>
      <w:r>
        <w:rPr>
          <w:rStyle w:val="EndnoteReference"/>
        </w:rPr>
        <w:endnoteRef/>
      </w:r>
      <w:r>
        <w:t xml:space="preserve"> </w:t>
      </w:r>
      <w:r w:rsidRPr="000253DE">
        <w:t xml:space="preserve">Campaign for Tobacco-Free Kids. The Toll of Tobacco in </w:t>
      </w:r>
      <w:r>
        <w:t>Rhode Island</w:t>
      </w:r>
      <w:r w:rsidRPr="000253DE">
        <w:t xml:space="preserve">. </w:t>
      </w:r>
      <w:r>
        <w:t>2016</w:t>
      </w:r>
      <w:r w:rsidRPr="000253DE">
        <w:t>. Available at: https://www.tobaccofreekids.org/facts_issues/toll_us/</w:t>
      </w:r>
      <w:r>
        <w:t>rhode_island</w:t>
      </w:r>
      <w:r w:rsidRPr="000253DE">
        <w:t>.</w:t>
      </w:r>
    </w:p>
  </w:endnote>
  <w:endnote w:id="14">
    <w:p w14:paraId="3529F16C" w14:textId="6DB0EEFA" w:rsidR="00384204" w:rsidRDefault="00384204" w:rsidP="00F416A9">
      <w:pPr>
        <w:pStyle w:val="EndnoteText"/>
        <w:spacing w:line="288" w:lineRule="auto"/>
      </w:pPr>
      <w:r>
        <w:rPr>
          <w:rStyle w:val="EndnoteReference"/>
        </w:rPr>
        <w:endnoteRef/>
      </w:r>
      <w:r>
        <w:t xml:space="preserve"> </w:t>
      </w:r>
      <w:r w:rsidRPr="00C720A3">
        <w:t xml:space="preserve">Campaign for Tobacco-Free Kids. </w:t>
      </w:r>
      <w:r>
        <w:t>Increasing the Minimum Legal Sale Age for Tobacco Products to 21</w:t>
      </w:r>
      <w:r w:rsidRPr="00C720A3">
        <w:t>. 201</w:t>
      </w:r>
      <w:r>
        <w:t>6</w:t>
      </w:r>
      <w:r w:rsidRPr="00C720A3">
        <w:t xml:space="preserve">. Available at: </w:t>
      </w:r>
      <w:hyperlink r:id="rId2" w:history="1">
        <w:r w:rsidRPr="001F45C1">
          <w:rPr>
            <w:rStyle w:val="Hyperlink"/>
          </w:rPr>
          <w:t>https://www.tobaccofreekids.org/research/factsheets/pdf/0376.pdf</w:t>
        </w:r>
      </w:hyperlink>
      <w:r>
        <w:t xml:space="preserve"> </w:t>
      </w:r>
    </w:p>
  </w:endnote>
  <w:endnote w:id="15">
    <w:p w14:paraId="06FD2690" w14:textId="77777777" w:rsidR="00384204" w:rsidRPr="00C720A3" w:rsidRDefault="00384204" w:rsidP="00F416A9">
      <w:pPr>
        <w:pStyle w:val="EndnoteText"/>
        <w:spacing w:line="288" w:lineRule="auto"/>
        <w:contextualSpacing/>
      </w:pPr>
      <w:r w:rsidRPr="00C720A3">
        <w:rPr>
          <w:rStyle w:val="EndnoteReference"/>
        </w:rPr>
        <w:endnoteRef/>
      </w:r>
      <w:r w:rsidRPr="00C720A3">
        <w:t xml:space="preserve"> U.S. Department of Health and Human Services. 2012. </w:t>
      </w:r>
      <w:r w:rsidRPr="00C720A3">
        <w:rPr>
          <w:i/>
        </w:rPr>
        <w:t>Preventing Tobacco Use Among Youth and Young Adults: A Report of the Surgeon General</w:t>
      </w:r>
      <w:r w:rsidRPr="00C720A3">
        <w:t xml:space="preserve">. Atlanta: US National Center for Chronic Disease Prevention and Health Promotion, Office on Smoking and Health, p. 15, </w:t>
      </w:r>
      <w:hyperlink r:id="rId3" w:history="1">
        <w:r w:rsidRPr="00C720A3">
          <w:rPr>
            <w:rStyle w:val="Hyperlink"/>
            <w:i/>
          </w:rPr>
          <w:t>www.surgeongeneral.gov/library/reports/preventing-youth-tobacco-use/full-report.pdf</w:t>
        </w:r>
      </w:hyperlink>
      <w:r w:rsidRPr="00C720A3">
        <w:t xml:space="preserve"> </w:t>
      </w:r>
    </w:p>
  </w:endnote>
  <w:endnote w:id="16">
    <w:p w14:paraId="38BD1796" w14:textId="77777777" w:rsidR="00384204" w:rsidRPr="00C720A3" w:rsidRDefault="00384204" w:rsidP="00F416A9">
      <w:pPr>
        <w:pStyle w:val="EndnoteText"/>
        <w:spacing w:line="288" w:lineRule="auto"/>
      </w:pPr>
      <w:r w:rsidRPr="00C720A3">
        <w:rPr>
          <w:rStyle w:val="EndnoteReference"/>
        </w:rPr>
        <w:endnoteRef/>
      </w:r>
      <w:r w:rsidRPr="00C720A3">
        <w:t xml:space="preserve"> Institute of Medicine of the National Academies. </w:t>
      </w:r>
      <w:r w:rsidRPr="00C720A3">
        <w:rPr>
          <w:i/>
          <w:iCs/>
        </w:rPr>
        <w:t>Public Health Implications of Raising the Minimum Age of Legal Access to Tobacco Products</w:t>
      </w:r>
      <w:r w:rsidRPr="00C720A3">
        <w:t>.; 2015. Available at: http://www.nap.edu/catalog/18997/public-health-implications-of-raising-the-minimum-age-of-legal-access-to-tobacco-products.</w:t>
      </w:r>
    </w:p>
  </w:endnote>
  <w:endnote w:id="17">
    <w:p w14:paraId="7ECC29A5" w14:textId="77777777" w:rsidR="00384204" w:rsidRPr="00C720A3" w:rsidRDefault="00384204" w:rsidP="00F416A9">
      <w:pPr>
        <w:pStyle w:val="EndnoteText"/>
        <w:spacing w:line="288" w:lineRule="auto"/>
      </w:pPr>
      <w:r w:rsidRPr="00C720A3">
        <w:rPr>
          <w:rStyle w:val="EndnoteReference"/>
        </w:rPr>
        <w:endnoteRef/>
      </w:r>
      <w:r w:rsidRPr="00C720A3">
        <w:t xml:space="preserve"> Institute of Medicine of the National Academies. </w:t>
      </w:r>
      <w:r w:rsidRPr="00C720A3">
        <w:rPr>
          <w:i/>
          <w:iCs/>
        </w:rPr>
        <w:t>Public Health Implications of Raising the Minimum Age of Legal Access to Tobacco Products</w:t>
      </w:r>
      <w:r w:rsidRPr="00C720A3">
        <w:t>.; 2015. Available at: http://www.nap.edu/catalog/18997/public-health-implications-of-raising-the-minimum-age-of-legal-access-to-tobacco-products.</w:t>
      </w:r>
    </w:p>
  </w:endnote>
  <w:endnote w:id="18">
    <w:p w14:paraId="0C725985" w14:textId="77777777" w:rsidR="00384204" w:rsidRPr="00C720A3" w:rsidRDefault="00384204" w:rsidP="00F416A9">
      <w:pPr>
        <w:pStyle w:val="EndnoteText"/>
        <w:spacing w:line="288" w:lineRule="auto"/>
      </w:pPr>
      <w:r w:rsidRPr="00C720A3">
        <w:rPr>
          <w:rStyle w:val="EndnoteReference"/>
        </w:rPr>
        <w:endnoteRef/>
      </w:r>
      <w:r w:rsidRPr="00C720A3">
        <w:t xml:space="preserve"> White, M., Gilpin, E., Emery, S, and Pierce, J. 2005. Facilitating Adolescent Smoking: Who Provides the Cigarettes. American Journal of Health Promotion. 19 (5): 355-360. Available at: </w:t>
      </w:r>
      <w:hyperlink r:id="rId4" w:history="1">
        <w:r w:rsidRPr="00C720A3">
          <w:rPr>
            <w:rStyle w:val="Hyperlink"/>
          </w:rPr>
          <w:t>http://ajhpcontents.org/doi/abs/10.4278/0890-1171-19.5.355</w:t>
        </w:r>
      </w:hyperlink>
      <w:r w:rsidRPr="00C720A3">
        <w:t xml:space="preserve"> </w:t>
      </w:r>
    </w:p>
  </w:endnote>
  <w:endnote w:id="19">
    <w:p w14:paraId="19E0FEAA" w14:textId="77777777" w:rsidR="00384204" w:rsidRPr="00C720A3" w:rsidRDefault="00384204" w:rsidP="00F416A9">
      <w:pPr>
        <w:pStyle w:val="EndnoteText"/>
        <w:spacing w:line="288" w:lineRule="auto"/>
      </w:pPr>
      <w:r w:rsidRPr="00C720A3">
        <w:rPr>
          <w:rStyle w:val="EndnoteReference"/>
        </w:rPr>
        <w:endnoteRef/>
      </w:r>
      <w:r w:rsidRPr="00C720A3">
        <w:t xml:space="preserve"> DiFranza, J and Coleman, M. (2001). Sources of Tobacco for Youths in Communities with Strong Enforcement of Youth Access Laws. Tobacco Control. 10: 323-328 Available at: </w:t>
      </w:r>
      <w:hyperlink r:id="rId5" w:history="1">
        <w:r w:rsidRPr="00C720A3">
          <w:rPr>
            <w:rStyle w:val="Hyperlink"/>
          </w:rPr>
          <w:t>http://www.ncbi.nlm.nih.gov/pmc/articles/PMC1747607/pdf/v010p00323.pdf</w:t>
        </w:r>
      </w:hyperlink>
    </w:p>
  </w:endnote>
  <w:endnote w:id="20">
    <w:p w14:paraId="5D437199" w14:textId="77777777" w:rsidR="00384204" w:rsidRPr="00C720A3" w:rsidRDefault="00384204" w:rsidP="00F416A9">
      <w:pPr>
        <w:pStyle w:val="EndnoteText"/>
        <w:spacing w:line="288" w:lineRule="auto"/>
      </w:pPr>
      <w:r w:rsidRPr="00C720A3">
        <w:rPr>
          <w:rStyle w:val="EndnoteReference"/>
        </w:rPr>
        <w:endnoteRef/>
      </w:r>
      <w:r w:rsidRPr="00C720A3">
        <w:t xml:space="preserve"> Institute of Medicine of the National Academies. </w:t>
      </w:r>
      <w:r w:rsidRPr="00C720A3">
        <w:rPr>
          <w:i/>
          <w:iCs/>
        </w:rPr>
        <w:t>Public Health Implications of Raising the Minimum Age of Legal Access to Tobacco Products</w:t>
      </w:r>
      <w:r w:rsidRPr="00C720A3">
        <w:t>.; 2015. Available at: http://www.nap.edu/catalog/18997/public-health-implications-of-raising-the-minimum-age-of-legal-access-to-tobacco-products.</w:t>
      </w:r>
    </w:p>
  </w:endnote>
  <w:endnote w:id="21">
    <w:p w14:paraId="210A45A9" w14:textId="77777777" w:rsidR="00384204" w:rsidRPr="00C720A3" w:rsidRDefault="00384204" w:rsidP="00F416A9">
      <w:pPr>
        <w:pStyle w:val="EndnoteText"/>
        <w:spacing w:line="288" w:lineRule="auto"/>
      </w:pPr>
      <w:r w:rsidRPr="00C720A3">
        <w:rPr>
          <w:rStyle w:val="EndnoteReference"/>
        </w:rPr>
        <w:endnoteRef/>
      </w:r>
      <w:r w:rsidRPr="00C720A3">
        <w:t xml:space="preserve"> Institute of Medicine of the National Academies. </w:t>
      </w:r>
      <w:r w:rsidRPr="00C720A3">
        <w:rPr>
          <w:i/>
          <w:iCs/>
        </w:rPr>
        <w:t>Public Health Implications of Raising the Minimum Age of Legal Access to Tobacco Products</w:t>
      </w:r>
      <w:r w:rsidRPr="00C720A3">
        <w:t>.; 2015. Available at: http://www.nap.edu/catalog/18997/public-health-implications-of-raising-the-minimum-age-of-legal-access-to-tobacco-products.</w:t>
      </w:r>
    </w:p>
  </w:endnote>
  <w:endnote w:id="22">
    <w:p w14:paraId="41F95092" w14:textId="77777777" w:rsidR="00384204" w:rsidRPr="00C720A3" w:rsidRDefault="00384204" w:rsidP="00F416A9">
      <w:pPr>
        <w:pStyle w:val="EndnoteText"/>
        <w:spacing w:line="288" w:lineRule="auto"/>
        <w:contextualSpacing/>
      </w:pPr>
      <w:r w:rsidRPr="00C720A3">
        <w:rPr>
          <w:rStyle w:val="EndnoteReference"/>
        </w:rPr>
        <w:endnoteRef/>
      </w:r>
      <w:r w:rsidRPr="00C720A3">
        <w:t xml:space="preserve"> Hammond D. 2005. “Smoking Behavior Among Young Adults: Beyond Youth Prevention.” </w:t>
      </w:r>
      <w:r w:rsidRPr="00C720A3">
        <w:rPr>
          <w:i/>
        </w:rPr>
        <w:t>Tobacco Control</w:t>
      </w:r>
      <w:r w:rsidRPr="00C720A3">
        <w:t xml:space="preserve"> 14(3): 181-185.</w:t>
      </w:r>
    </w:p>
  </w:endnote>
  <w:endnote w:id="23">
    <w:p w14:paraId="1494C32A" w14:textId="77777777" w:rsidR="00384204" w:rsidRPr="00C720A3" w:rsidRDefault="00384204" w:rsidP="00F416A9">
      <w:pPr>
        <w:pStyle w:val="EndnoteText"/>
        <w:spacing w:line="288" w:lineRule="auto"/>
      </w:pPr>
      <w:r w:rsidRPr="00C720A3">
        <w:rPr>
          <w:rStyle w:val="EndnoteReference"/>
        </w:rPr>
        <w:endnoteRef/>
      </w:r>
      <w:r w:rsidRPr="00C720A3">
        <w:t xml:space="preserve"> Campaign for Tobacco Free Kids. Increasing the Minimum Legal Age for Tobacco Products to 21. 2016. https://www.tobaccofreekids.org/research/factsheets/pdf/0376.pdf</w:t>
      </w:r>
    </w:p>
  </w:endnote>
  <w:endnote w:id="24">
    <w:p w14:paraId="2A0FD8BB" w14:textId="77777777" w:rsidR="00384204" w:rsidRPr="00C720A3" w:rsidRDefault="00384204" w:rsidP="00F416A9">
      <w:pPr>
        <w:pStyle w:val="EndnoteText"/>
        <w:spacing w:line="288" w:lineRule="auto"/>
      </w:pPr>
      <w:r w:rsidRPr="00C720A3">
        <w:rPr>
          <w:rStyle w:val="EndnoteReference"/>
        </w:rPr>
        <w:endnoteRef/>
      </w:r>
      <w:r w:rsidRPr="00C720A3">
        <w:t xml:space="preserve"> U.S. Department of Health and Human Services. </w:t>
      </w:r>
      <w:r w:rsidRPr="00C720A3">
        <w:rPr>
          <w:i/>
        </w:rPr>
        <w:t>Preventing Tobacco Use Among Youth and Young Adults: A Report of the Surgeon General.</w:t>
      </w:r>
      <w:r w:rsidRPr="00C720A3">
        <w:t xml:space="preserve"> 2012/ Available at: </w:t>
      </w:r>
      <w:r w:rsidRPr="00C720A3">
        <w:rPr>
          <w:i/>
          <w:color w:val="03598D"/>
        </w:rPr>
        <w:t>www.surgeongeneral.gov/library/reports/preventing-youth-tobacco-use/full-report.pdf</w:t>
      </w:r>
    </w:p>
  </w:endnote>
  <w:endnote w:id="25">
    <w:p w14:paraId="3CFA59CC" w14:textId="77777777" w:rsidR="00384204" w:rsidRPr="00A91EA1" w:rsidRDefault="00384204" w:rsidP="00F416A9">
      <w:pPr>
        <w:pStyle w:val="EndnoteText"/>
        <w:spacing w:line="288" w:lineRule="auto"/>
        <w:rPr>
          <w:color w:val="0000FF"/>
          <w:u w:val="single"/>
        </w:rPr>
      </w:pPr>
      <w:r w:rsidRPr="00C720A3">
        <w:rPr>
          <w:rStyle w:val="EndnoteReference"/>
        </w:rPr>
        <w:endnoteRef/>
      </w:r>
      <w:r w:rsidRPr="00C720A3">
        <w:t xml:space="preserve"> Ling, P and Glantz, S. 2002. Why and How the Tobacco Industry Sells Cigarettes to Young Adults: Evidence from Industry Documents. American Journal of Public Health. 92(6). June 2002. Available at: </w:t>
      </w:r>
      <w:hyperlink r:id="rId6" w:history="1">
        <w:r w:rsidRPr="007E630C">
          <w:rPr>
            <w:rStyle w:val="Hyperlink"/>
          </w:rPr>
          <w:t>http://www.ncbi.nlm.nih.gov/pmc/articles/PMC1447481/</w:t>
        </w:r>
      </w:hyperlink>
      <w:r>
        <w:rPr>
          <w:color w:val="0000FF"/>
          <w:u w:val="single"/>
        </w:rPr>
        <w:t xml:space="preserve"> </w:t>
      </w:r>
    </w:p>
  </w:endnote>
  <w:endnote w:id="26">
    <w:p w14:paraId="6B53B51B" w14:textId="14775539" w:rsidR="00384204" w:rsidRPr="00F27076" w:rsidRDefault="00384204" w:rsidP="00F27076">
      <w:pPr>
        <w:pStyle w:val="NoSpacing"/>
        <w:spacing w:line="288" w:lineRule="auto"/>
        <w:rPr>
          <w:sz w:val="20"/>
          <w:szCs w:val="20"/>
        </w:rPr>
      </w:pPr>
      <w:r w:rsidRPr="00F27076">
        <w:rPr>
          <w:rStyle w:val="EndnoteReference"/>
          <w:sz w:val="20"/>
          <w:szCs w:val="20"/>
        </w:rPr>
        <w:endnoteRef/>
      </w:r>
      <w:r w:rsidRPr="00F27076">
        <w:rPr>
          <w:sz w:val="20"/>
          <w:szCs w:val="20"/>
        </w:rPr>
        <w:t xml:space="preserve"> Wagenaar AC, Toomey TL. Effects of minimum drinking age laws: Review and analyses of the literature from 1960 to 2000. J Stud Alcohol. 2002;S14:206-225. doi:10.15288/jsas.2002.s14.206.</w:t>
      </w:r>
    </w:p>
  </w:endnote>
  <w:endnote w:id="27">
    <w:p w14:paraId="0557D063" w14:textId="410D16DE" w:rsidR="00384204" w:rsidRPr="00C720A3" w:rsidRDefault="00384204" w:rsidP="00F416A9">
      <w:pPr>
        <w:pStyle w:val="EndnoteText"/>
        <w:spacing w:line="288" w:lineRule="auto"/>
      </w:pPr>
      <w:r w:rsidRPr="00C720A3">
        <w:rPr>
          <w:rStyle w:val="EndnoteReference"/>
        </w:rPr>
        <w:endnoteRef/>
      </w:r>
      <w:r>
        <w:t xml:space="preserve"> </w:t>
      </w:r>
      <w:r w:rsidRPr="00C720A3">
        <w:t xml:space="preserve">Kessel S, Buka S, Dash K, Winickoff JP, O’Donnell L. Community Reductions in Youth Smoking After Raising the Minimum Tobacco Sales Age to 21. </w:t>
      </w:r>
      <w:r w:rsidRPr="00C720A3">
        <w:rPr>
          <w:i/>
          <w:iCs/>
        </w:rPr>
        <w:t>Tob Control</w:t>
      </w:r>
      <w:r w:rsidRPr="00C720A3">
        <w:t>. 2015. Available at: http://www.njgasp.org/wp-content/uploads/2015/06/Tobacco-Control-BMJ-21-Needham-Study.pdf.</w:t>
      </w:r>
    </w:p>
  </w:endnote>
  <w:endnote w:id="28">
    <w:p w14:paraId="14E217F2" w14:textId="77777777" w:rsidR="00384204" w:rsidRPr="00C720A3" w:rsidRDefault="00384204" w:rsidP="00F416A9">
      <w:pPr>
        <w:pStyle w:val="EndnoteText"/>
        <w:spacing w:line="288" w:lineRule="auto"/>
      </w:pPr>
      <w:r w:rsidRPr="00C720A3">
        <w:rPr>
          <w:rStyle w:val="EndnoteReference"/>
        </w:rPr>
        <w:endnoteRef/>
      </w:r>
      <w:r w:rsidRPr="00C720A3">
        <w:t xml:space="preserve"> Institute of Medicine of the National Academies. </w:t>
      </w:r>
      <w:r w:rsidRPr="00C720A3">
        <w:rPr>
          <w:i/>
          <w:iCs/>
        </w:rPr>
        <w:t>Public Health Implications of Raising the Minimum Age of Legal Access to Tobacco Products</w:t>
      </w:r>
      <w:r w:rsidRPr="00C720A3">
        <w:t>.; 2015. Available at: http://www.nap.edu/catalog/18997/public-health-implications-of-raising-the-minimum-age-of-legal-access-to-tobacco-products.</w:t>
      </w:r>
    </w:p>
  </w:endnote>
  <w:endnote w:id="29">
    <w:p w14:paraId="6F22D912" w14:textId="77777777" w:rsidR="00384204" w:rsidRPr="00C720A3" w:rsidRDefault="00384204" w:rsidP="00F416A9">
      <w:pPr>
        <w:pStyle w:val="EndnoteText"/>
        <w:spacing w:line="288" w:lineRule="auto"/>
      </w:pPr>
      <w:r w:rsidRPr="00C720A3">
        <w:rPr>
          <w:rStyle w:val="EndnoteReference"/>
        </w:rPr>
        <w:endnoteRef/>
      </w:r>
      <w:r w:rsidRPr="00C720A3">
        <w:t xml:space="preserve"> Campaign for Tobacco Free Kids. States and Localities that have raised the minimum legal sale sage for tobacco products to 21. 2016. Available at: https://www.tobaccofreekids.org/content/what_we_do/state_local_issues/sales_21/states_localities_MLSA_21.pdf</w:t>
      </w:r>
    </w:p>
  </w:endnote>
  <w:endnote w:id="30">
    <w:p w14:paraId="26EE6966" w14:textId="77777777" w:rsidR="00384204" w:rsidRPr="00C720A3" w:rsidRDefault="00384204" w:rsidP="00F416A9">
      <w:pPr>
        <w:pStyle w:val="EndnoteText"/>
        <w:spacing w:line="288" w:lineRule="auto"/>
      </w:pPr>
      <w:r w:rsidRPr="00C720A3">
        <w:rPr>
          <w:rStyle w:val="EndnoteReference"/>
        </w:rPr>
        <w:endnoteRef/>
      </w:r>
      <w:r w:rsidRPr="00C720A3">
        <w:t xml:space="preserve"> Winickoff J, McMillen R, Tanski S. Public support for raising the age of sale for tobacco to 21 in the United States. </w:t>
      </w:r>
      <w:r w:rsidRPr="00C720A3">
        <w:rPr>
          <w:i/>
          <w:iCs/>
        </w:rPr>
        <w:t xml:space="preserve">Tob </w:t>
      </w:r>
      <w:r w:rsidRPr="00C720A3">
        <w:t>2015:1–5. doi:10.1136/tobaccocontrol-2014-052126.</w:t>
      </w:r>
    </w:p>
  </w:endnote>
  <w:endnote w:id="31">
    <w:p w14:paraId="3CD1AD6C" w14:textId="595297D3" w:rsidR="00D54D73" w:rsidRDefault="00D54D73">
      <w:pPr>
        <w:pStyle w:val="EndnoteText"/>
      </w:pPr>
      <w:r>
        <w:rPr>
          <w:rStyle w:val="EndnoteReference"/>
        </w:rPr>
        <w:endnoteRef/>
      </w:r>
      <w:r>
        <w:t xml:space="preserve"> </w:t>
      </w:r>
      <w:r w:rsidRPr="00F16BF2">
        <w:t xml:space="preserve">DiFranza JR. Which interventions against the sale of tobacco to minors can be expected to reduce smoking? </w:t>
      </w:r>
      <w:r w:rsidRPr="00F16BF2">
        <w:rPr>
          <w:i/>
        </w:rPr>
        <w:t>Tob Control.</w:t>
      </w:r>
      <w:r w:rsidRPr="00F16BF2">
        <w:t xml:space="preserve"> 2012;21(4):436-442. doi:10.1136/tobaccocontrol-2011-050145.</w:t>
      </w:r>
      <w:r>
        <w:t xml:space="preserve"> </w:t>
      </w:r>
      <w:r w:rsidRPr="00F16BF2">
        <w:t xml:space="preserve">Wakefield M, Giovino G. Teen penalties for tobacco possession, use, and purchase: evidence and issues. </w:t>
      </w:r>
      <w:r w:rsidRPr="00F16BF2">
        <w:rPr>
          <w:i/>
        </w:rPr>
        <w:t>Tob Control.</w:t>
      </w:r>
      <w:r w:rsidRPr="00F16BF2">
        <w:t xml:space="preserve"> 2003;12(Suppl. I):i6-i13. doi:10.1136/tc.12.suppl_1.i6.</w:t>
      </w:r>
    </w:p>
  </w:endnote>
  <w:endnote w:id="32">
    <w:p w14:paraId="5499204D" w14:textId="75392CA3" w:rsidR="00D54D73" w:rsidRPr="00D54D73" w:rsidRDefault="00D54D73">
      <w:pPr>
        <w:pStyle w:val="EndnoteText"/>
        <w:rPr>
          <w:i/>
        </w:rPr>
      </w:pPr>
      <w:r>
        <w:rPr>
          <w:rStyle w:val="EndnoteReference"/>
        </w:rPr>
        <w:endnoteRef/>
      </w:r>
      <w:r>
        <w:t xml:space="preserve"> </w:t>
      </w:r>
      <w:r>
        <w:rPr>
          <w:i/>
        </w:rPr>
        <w:t>Id.</w:t>
      </w:r>
    </w:p>
  </w:endnote>
  <w:endnote w:id="33">
    <w:p w14:paraId="17CD506F" w14:textId="6219F285" w:rsidR="00D54D73" w:rsidRDefault="00D54D73">
      <w:pPr>
        <w:pStyle w:val="EndnoteText"/>
      </w:pPr>
      <w:r>
        <w:rPr>
          <w:rStyle w:val="EndnoteReference"/>
        </w:rPr>
        <w:endnoteRef/>
      </w:r>
      <w:r>
        <w:t xml:space="preserve"> </w:t>
      </w:r>
      <w:r w:rsidRPr="00EF7034">
        <w:t xml:space="preserve">Gottlieb NH. Minors’ tobacco possession law violations and intentions to smoke: implications for tobacco control. </w:t>
      </w:r>
      <w:r w:rsidRPr="00EF7034">
        <w:rPr>
          <w:i/>
        </w:rPr>
        <w:t>Tob Control</w:t>
      </w:r>
      <w:r w:rsidRPr="00EF7034">
        <w:t>. 2004;13(3):237-243. doi:10.1136/tc.2003.003988.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763C" w14:textId="77777777" w:rsidR="00384204" w:rsidRDefault="00384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73D2" w14:textId="77777777" w:rsidR="00384204" w:rsidRDefault="00384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1280" w14:textId="77777777" w:rsidR="00384204" w:rsidRDefault="0038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CCCD" w14:textId="77777777" w:rsidR="00FD244D" w:rsidRDefault="00FD244D" w:rsidP="00BD1AC7">
      <w:pPr>
        <w:spacing w:line="240" w:lineRule="auto"/>
      </w:pPr>
      <w:r>
        <w:separator/>
      </w:r>
    </w:p>
  </w:footnote>
  <w:footnote w:type="continuationSeparator" w:id="0">
    <w:p w14:paraId="2B2C4E5D" w14:textId="77777777" w:rsidR="00FD244D" w:rsidRDefault="00FD244D" w:rsidP="00BD1A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E8A5" w14:textId="77777777" w:rsidR="00384204" w:rsidRDefault="00384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2252" w14:textId="3D85797E" w:rsidR="00384204" w:rsidRDefault="00384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CC30" w14:textId="77777777" w:rsidR="00384204" w:rsidRDefault="00384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D53"/>
    <w:multiLevelType w:val="hybridMultilevel"/>
    <w:tmpl w:val="F0185442"/>
    <w:lvl w:ilvl="0" w:tplc="156C4164">
      <w:start w:val="1"/>
      <w:numFmt w:val="lowerLetter"/>
      <w:lvlText w:val="(%1)"/>
      <w:lvlJc w:val="left"/>
      <w:pPr>
        <w:ind w:left="720" w:hanging="360"/>
      </w:pPr>
      <w:rPr>
        <w:rFonts w:hint="default"/>
      </w:rPr>
    </w:lvl>
    <w:lvl w:ilvl="1" w:tplc="A232E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268C"/>
    <w:multiLevelType w:val="hybridMultilevel"/>
    <w:tmpl w:val="FA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01477"/>
    <w:multiLevelType w:val="hybridMultilevel"/>
    <w:tmpl w:val="7F3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60BC2"/>
    <w:multiLevelType w:val="hybridMultilevel"/>
    <w:tmpl w:val="378C557A"/>
    <w:lvl w:ilvl="0" w:tplc="A232E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07A14"/>
    <w:multiLevelType w:val="hybridMultilevel"/>
    <w:tmpl w:val="50A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07EC0"/>
    <w:multiLevelType w:val="hybridMultilevel"/>
    <w:tmpl w:val="D6D2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D6D80"/>
    <w:multiLevelType w:val="hybridMultilevel"/>
    <w:tmpl w:val="2A821D2E"/>
    <w:lvl w:ilvl="0" w:tplc="F7BEE350">
      <w:start w:val="1"/>
      <w:numFmt w:val="lowerLetter"/>
      <w:lvlText w:val="(%1)"/>
      <w:lvlJc w:val="left"/>
      <w:pPr>
        <w:ind w:left="720" w:hanging="360"/>
      </w:pPr>
      <w:rPr>
        <w:rFonts w:hint="default"/>
      </w:rPr>
    </w:lvl>
    <w:lvl w:ilvl="1" w:tplc="A232E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926B9"/>
    <w:multiLevelType w:val="hybridMultilevel"/>
    <w:tmpl w:val="36F81668"/>
    <w:lvl w:ilvl="0" w:tplc="49F6C7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35046"/>
    <w:multiLevelType w:val="hybridMultilevel"/>
    <w:tmpl w:val="5802C214"/>
    <w:lvl w:ilvl="0" w:tplc="31D4DB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2281F"/>
    <w:multiLevelType w:val="hybridMultilevel"/>
    <w:tmpl w:val="A704F14A"/>
    <w:lvl w:ilvl="0" w:tplc="03BA5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9"/>
  </w:num>
  <w:num w:numId="6">
    <w:abstractNumId w:val="7"/>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87"/>
    <w:rsid w:val="0000190F"/>
    <w:rsid w:val="00010016"/>
    <w:rsid w:val="00016F13"/>
    <w:rsid w:val="00023B67"/>
    <w:rsid w:val="00024C3C"/>
    <w:rsid w:val="000253D2"/>
    <w:rsid w:val="00063038"/>
    <w:rsid w:val="000A2633"/>
    <w:rsid w:val="000C109F"/>
    <w:rsid w:val="000C4F87"/>
    <w:rsid w:val="000D5D1C"/>
    <w:rsid w:val="000F0E6F"/>
    <w:rsid w:val="00101C16"/>
    <w:rsid w:val="001024EA"/>
    <w:rsid w:val="0011338E"/>
    <w:rsid w:val="0012306E"/>
    <w:rsid w:val="0013520E"/>
    <w:rsid w:val="001442C4"/>
    <w:rsid w:val="001652A2"/>
    <w:rsid w:val="0017360E"/>
    <w:rsid w:val="00195E57"/>
    <w:rsid w:val="00206E32"/>
    <w:rsid w:val="002162D3"/>
    <w:rsid w:val="00264841"/>
    <w:rsid w:val="00295A8E"/>
    <w:rsid w:val="002A5AE8"/>
    <w:rsid w:val="002B47DF"/>
    <w:rsid w:val="002D0658"/>
    <w:rsid w:val="002D3A7A"/>
    <w:rsid w:val="002D5B3C"/>
    <w:rsid w:val="002F7AFC"/>
    <w:rsid w:val="003064DB"/>
    <w:rsid w:val="0034185F"/>
    <w:rsid w:val="003433DD"/>
    <w:rsid w:val="003504AA"/>
    <w:rsid w:val="00365C87"/>
    <w:rsid w:val="0038111C"/>
    <w:rsid w:val="00384204"/>
    <w:rsid w:val="00397970"/>
    <w:rsid w:val="003B0552"/>
    <w:rsid w:val="003E75AE"/>
    <w:rsid w:val="0042158C"/>
    <w:rsid w:val="00422624"/>
    <w:rsid w:val="004802E4"/>
    <w:rsid w:val="00490C0A"/>
    <w:rsid w:val="004F2995"/>
    <w:rsid w:val="004F42FA"/>
    <w:rsid w:val="00505029"/>
    <w:rsid w:val="0052410C"/>
    <w:rsid w:val="00574D4D"/>
    <w:rsid w:val="005822CE"/>
    <w:rsid w:val="00597927"/>
    <w:rsid w:val="005C3B60"/>
    <w:rsid w:val="00611587"/>
    <w:rsid w:val="00624794"/>
    <w:rsid w:val="00626E76"/>
    <w:rsid w:val="00637707"/>
    <w:rsid w:val="006467D9"/>
    <w:rsid w:val="0065234A"/>
    <w:rsid w:val="00654CB4"/>
    <w:rsid w:val="006562E3"/>
    <w:rsid w:val="006578D8"/>
    <w:rsid w:val="00676FD1"/>
    <w:rsid w:val="006B1C28"/>
    <w:rsid w:val="006D6CDB"/>
    <w:rsid w:val="007024D0"/>
    <w:rsid w:val="0074034D"/>
    <w:rsid w:val="0077433A"/>
    <w:rsid w:val="00795B86"/>
    <w:rsid w:val="007A3430"/>
    <w:rsid w:val="007A52A4"/>
    <w:rsid w:val="00812031"/>
    <w:rsid w:val="00826F1B"/>
    <w:rsid w:val="008713B2"/>
    <w:rsid w:val="00874E44"/>
    <w:rsid w:val="00887941"/>
    <w:rsid w:val="008B3CE1"/>
    <w:rsid w:val="008B6DE4"/>
    <w:rsid w:val="008D399A"/>
    <w:rsid w:val="008E0649"/>
    <w:rsid w:val="00913E8F"/>
    <w:rsid w:val="00975C57"/>
    <w:rsid w:val="00977C5F"/>
    <w:rsid w:val="00984393"/>
    <w:rsid w:val="00984E42"/>
    <w:rsid w:val="009A543E"/>
    <w:rsid w:val="009B00B2"/>
    <w:rsid w:val="009E564D"/>
    <w:rsid w:val="00A41388"/>
    <w:rsid w:val="00A94A1C"/>
    <w:rsid w:val="00AC23FE"/>
    <w:rsid w:val="00B35704"/>
    <w:rsid w:val="00B50474"/>
    <w:rsid w:val="00B52F69"/>
    <w:rsid w:val="00B5381A"/>
    <w:rsid w:val="00B5716D"/>
    <w:rsid w:val="00B719AF"/>
    <w:rsid w:val="00BA0E38"/>
    <w:rsid w:val="00BD0D52"/>
    <w:rsid w:val="00BD1AC7"/>
    <w:rsid w:val="00BD5DAE"/>
    <w:rsid w:val="00BE025D"/>
    <w:rsid w:val="00BE3367"/>
    <w:rsid w:val="00C12325"/>
    <w:rsid w:val="00C22496"/>
    <w:rsid w:val="00C25563"/>
    <w:rsid w:val="00C37BB3"/>
    <w:rsid w:val="00C646D2"/>
    <w:rsid w:val="00C70603"/>
    <w:rsid w:val="00C930FE"/>
    <w:rsid w:val="00CB3437"/>
    <w:rsid w:val="00CB41B8"/>
    <w:rsid w:val="00CF6D45"/>
    <w:rsid w:val="00D13347"/>
    <w:rsid w:val="00D16C62"/>
    <w:rsid w:val="00D3213A"/>
    <w:rsid w:val="00D47146"/>
    <w:rsid w:val="00D51F9F"/>
    <w:rsid w:val="00D53D1C"/>
    <w:rsid w:val="00D54D73"/>
    <w:rsid w:val="00D75B48"/>
    <w:rsid w:val="00DB39DA"/>
    <w:rsid w:val="00DC491F"/>
    <w:rsid w:val="00E442F0"/>
    <w:rsid w:val="00E86A09"/>
    <w:rsid w:val="00EA11B4"/>
    <w:rsid w:val="00EA3263"/>
    <w:rsid w:val="00EB3505"/>
    <w:rsid w:val="00ED0C05"/>
    <w:rsid w:val="00EF77CA"/>
    <w:rsid w:val="00F01C37"/>
    <w:rsid w:val="00F27076"/>
    <w:rsid w:val="00F40596"/>
    <w:rsid w:val="00F416A9"/>
    <w:rsid w:val="00F618B1"/>
    <w:rsid w:val="00F637E5"/>
    <w:rsid w:val="00F80277"/>
    <w:rsid w:val="00FA5187"/>
    <w:rsid w:val="00FA53E0"/>
    <w:rsid w:val="00FA61AF"/>
    <w:rsid w:val="00FA7969"/>
    <w:rsid w:val="00FD244D"/>
    <w:rsid w:val="00FD5CF3"/>
    <w:rsid w:val="00FD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44"/>
    <w:pPr>
      <w:spacing w:after="0" w:line="280" w:lineRule="exact"/>
    </w:pPr>
    <w:rPr>
      <w:rFonts w:ascii="Times New Roman" w:eastAsia="Times New Roman" w:hAnsi="Times New Roman" w:cs="Times New Roman"/>
      <w:sz w:val="24"/>
      <w:szCs w:val="24"/>
    </w:rPr>
  </w:style>
  <w:style w:type="paragraph" w:styleId="Heading1">
    <w:name w:val="heading 1"/>
    <w:aliases w:val="Cover Heading"/>
    <w:next w:val="Normal"/>
    <w:link w:val="Heading1Char"/>
    <w:qFormat/>
    <w:rsid w:val="00C70603"/>
    <w:pPr>
      <w:keepNext/>
      <w:suppressAutoHyphens/>
      <w:spacing w:after="0" w:line="720" w:lineRule="exact"/>
      <w:outlineLvl w:val="0"/>
    </w:pPr>
    <w:rPr>
      <w:rFonts w:ascii="Times New Roman Bold" w:eastAsia="Times New Roman" w:hAnsi="Times New Roman Bold" w:cs="Times New Roman"/>
      <w:color w:val="634263"/>
      <w:kern w:val="32"/>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74E44"/>
    <w:pPr>
      <w:widowControl w:val="0"/>
      <w:autoSpaceDE w:val="0"/>
      <w:autoSpaceDN w:val="0"/>
      <w:adjustRightInd w:val="0"/>
      <w:spacing w:line="288" w:lineRule="auto"/>
      <w:textAlignment w:val="center"/>
    </w:pPr>
    <w:rPr>
      <w:rFonts w:cs="Times-Roman"/>
      <w:color w:val="000000"/>
      <w:lang w:bidi="en-US"/>
    </w:rPr>
  </w:style>
  <w:style w:type="paragraph" w:customStyle="1" w:styleId="commentsbox">
    <w:name w:val="comments box"/>
    <w:basedOn w:val="Normal"/>
    <w:next w:val="BasicParagraph"/>
    <w:rsid w:val="00874E44"/>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paragraph" w:styleId="Header">
    <w:name w:val="header"/>
    <w:basedOn w:val="Normal"/>
    <w:link w:val="HeaderChar"/>
    <w:rsid w:val="00874E44"/>
    <w:pPr>
      <w:tabs>
        <w:tab w:val="center" w:pos="4320"/>
        <w:tab w:val="right" w:pos="8640"/>
      </w:tabs>
    </w:pPr>
  </w:style>
  <w:style w:type="character" w:customStyle="1" w:styleId="HeaderChar">
    <w:name w:val="Header Char"/>
    <w:basedOn w:val="DefaultParagraphFont"/>
    <w:link w:val="Header"/>
    <w:rsid w:val="00874E44"/>
    <w:rPr>
      <w:rFonts w:ascii="Times New Roman" w:eastAsia="Times New Roman" w:hAnsi="Times New Roman" w:cs="Times New Roman"/>
      <w:sz w:val="24"/>
      <w:szCs w:val="24"/>
    </w:rPr>
  </w:style>
  <w:style w:type="paragraph" w:customStyle="1" w:styleId="NormalText">
    <w:name w:val="Normal Text"/>
    <w:basedOn w:val="Normal"/>
    <w:rsid w:val="00874E44"/>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styleId="Strong">
    <w:name w:val="Strong"/>
    <w:basedOn w:val="DefaultParagraphFont"/>
    <w:uiPriority w:val="22"/>
    <w:qFormat/>
    <w:rsid w:val="00874E44"/>
    <w:rPr>
      <w:b/>
      <w:bCs/>
    </w:rPr>
  </w:style>
  <w:style w:type="paragraph" w:styleId="ListParagraph">
    <w:name w:val="List Paragraph"/>
    <w:basedOn w:val="Normal"/>
    <w:uiPriority w:val="34"/>
    <w:qFormat/>
    <w:rsid w:val="00874E4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74E44"/>
    <w:rPr>
      <w:sz w:val="16"/>
      <w:szCs w:val="16"/>
    </w:rPr>
  </w:style>
  <w:style w:type="paragraph" w:styleId="CommentText">
    <w:name w:val="annotation text"/>
    <w:basedOn w:val="Normal"/>
    <w:link w:val="CommentTextChar"/>
    <w:uiPriority w:val="99"/>
    <w:unhideWhenUsed/>
    <w:rsid w:val="00874E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74E44"/>
    <w:rPr>
      <w:sz w:val="20"/>
      <w:szCs w:val="20"/>
    </w:rPr>
  </w:style>
  <w:style w:type="paragraph" w:styleId="BalloonText">
    <w:name w:val="Balloon Text"/>
    <w:basedOn w:val="Normal"/>
    <w:link w:val="BalloonTextChar"/>
    <w:uiPriority w:val="99"/>
    <w:semiHidden/>
    <w:unhideWhenUsed/>
    <w:rsid w:val="00874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44"/>
    <w:rPr>
      <w:rFonts w:ascii="Segoe UI" w:eastAsia="Times New Roman" w:hAnsi="Segoe UI" w:cs="Segoe UI"/>
      <w:sz w:val="18"/>
      <w:szCs w:val="18"/>
    </w:rPr>
  </w:style>
  <w:style w:type="paragraph" w:styleId="NoSpacing">
    <w:name w:val="No Spacing"/>
    <w:uiPriority w:val="1"/>
    <w:qFormat/>
    <w:rsid w:val="00874E44"/>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5381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5381A"/>
    <w:rPr>
      <w:rFonts w:ascii="Times New Roman" w:eastAsia="Times New Roman" w:hAnsi="Times New Roman" w:cs="Times New Roman"/>
      <w:b/>
      <w:bCs/>
      <w:sz w:val="20"/>
      <w:szCs w:val="20"/>
    </w:rPr>
  </w:style>
  <w:style w:type="paragraph" w:customStyle="1" w:styleId="LevelA">
    <w:name w:val="Level A"/>
    <w:basedOn w:val="NormalText"/>
    <w:rsid w:val="00975C57"/>
    <w:pPr>
      <w:ind w:left="360"/>
    </w:pPr>
  </w:style>
  <w:style w:type="paragraph" w:customStyle="1" w:styleId="LevelB">
    <w:name w:val="Level B"/>
    <w:basedOn w:val="NormalText"/>
    <w:rsid w:val="00975C57"/>
    <w:pPr>
      <w:ind w:left="720"/>
    </w:pPr>
  </w:style>
  <w:style w:type="paragraph" w:styleId="EndnoteText">
    <w:name w:val="endnote text"/>
    <w:basedOn w:val="Normal"/>
    <w:link w:val="EndnoteTextChar"/>
    <w:uiPriority w:val="99"/>
    <w:unhideWhenUsed/>
    <w:rsid w:val="00BD1AC7"/>
    <w:pPr>
      <w:spacing w:line="240" w:lineRule="auto"/>
    </w:pPr>
    <w:rPr>
      <w:sz w:val="20"/>
      <w:szCs w:val="20"/>
    </w:rPr>
  </w:style>
  <w:style w:type="character" w:customStyle="1" w:styleId="EndnoteTextChar">
    <w:name w:val="Endnote Text Char"/>
    <w:basedOn w:val="DefaultParagraphFont"/>
    <w:link w:val="EndnoteText"/>
    <w:uiPriority w:val="99"/>
    <w:rsid w:val="00BD1AC7"/>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BD1AC7"/>
    <w:rPr>
      <w:vertAlign w:val="superscript"/>
    </w:rPr>
  </w:style>
  <w:style w:type="character" w:styleId="Hyperlink">
    <w:name w:val="Hyperlink"/>
    <w:basedOn w:val="DefaultParagraphFont"/>
    <w:uiPriority w:val="99"/>
    <w:unhideWhenUsed/>
    <w:rsid w:val="002B47DF"/>
    <w:rPr>
      <w:color w:val="0563C1" w:themeColor="hyperlink"/>
      <w:u w:val="single"/>
    </w:rPr>
  </w:style>
  <w:style w:type="paragraph" w:styleId="FootnoteText">
    <w:name w:val="footnote text"/>
    <w:basedOn w:val="Normal"/>
    <w:link w:val="FootnoteTextChar"/>
    <w:uiPriority w:val="99"/>
    <w:semiHidden/>
    <w:unhideWhenUsed/>
    <w:rsid w:val="002B47DF"/>
    <w:pPr>
      <w:spacing w:line="240" w:lineRule="auto"/>
    </w:pPr>
    <w:rPr>
      <w:sz w:val="20"/>
      <w:szCs w:val="20"/>
    </w:rPr>
  </w:style>
  <w:style w:type="character" w:customStyle="1" w:styleId="FootnoteTextChar">
    <w:name w:val="Footnote Text Char"/>
    <w:basedOn w:val="DefaultParagraphFont"/>
    <w:link w:val="FootnoteText"/>
    <w:uiPriority w:val="99"/>
    <w:semiHidden/>
    <w:rsid w:val="002B47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7DF"/>
    <w:rPr>
      <w:vertAlign w:val="superscript"/>
    </w:rPr>
  </w:style>
  <w:style w:type="character" w:customStyle="1" w:styleId="Heading1Char">
    <w:name w:val="Heading 1 Char"/>
    <w:aliases w:val="Cover Heading Char"/>
    <w:basedOn w:val="DefaultParagraphFont"/>
    <w:link w:val="Heading1"/>
    <w:rsid w:val="00C70603"/>
    <w:rPr>
      <w:rFonts w:ascii="Times New Roman Bold" w:eastAsia="Times New Roman" w:hAnsi="Times New Roman Bold" w:cs="Times New Roman"/>
      <w:color w:val="634263"/>
      <w:kern w:val="32"/>
      <w:sz w:val="60"/>
      <w:szCs w:val="32"/>
    </w:rPr>
  </w:style>
  <w:style w:type="paragraph" w:customStyle="1" w:styleId="nPlancovertext">
    <w:name w:val="nPlan cover text"/>
    <w:basedOn w:val="Normal"/>
    <w:rsid w:val="00C70603"/>
    <w:pPr>
      <w:tabs>
        <w:tab w:val="left" w:pos="1440"/>
      </w:tabs>
      <w:ind w:left="1800"/>
    </w:pPr>
    <w:rPr>
      <w:rFonts w:cs="Arial"/>
    </w:rPr>
  </w:style>
  <w:style w:type="paragraph" w:customStyle="1" w:styleId="disclamerbox">
    <w:name w:val="disclamer box"/>
    <w:basedOn w:val="Normal"/>
    <w:rsid w:val="00C70603"/>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enter">
    <w:name w:val="Center"/>
    <w:basedOn w:val="NormalText"/>
    <w:rsid w:val="00C70603"/>
    <w:pPr>
      <w:ind w:firstLine="0"/>
      <w:jc w:val="center"/>
    </w:pPr>
  </w:style>
  <w:style w:type="paragraph" w:styleId="Footer">
    <w:name w:val="footer"/>
    <w:basedOn w:val="Normal"/>
    <w:link w:val="FooterChar"/>
    <w:uiPriority w:val="99"/>
    <w:unhideWhenUsed/>
    <w:rsid w:val="00C70603"/>
    <w:pPr>
      <w:tabs>
        <w:tab w:val="center" w:pos="4680"/>
        <w:tab w:val="right" w:pos="9360"/>
      </w:tabs>
      <w:spacing w:line="240" w:lineRule="auto"/>
    </w:pPr>
  </w:style>
  <w:style w:type="character" w:customStyle="1" w:styleId="FooterChar">
    <w:name w:val="Footer Char"/>
    <w:basedOn w:val="DefaultParagraphFont"/>
    <w:link w:val="Footer"/>
    <w:uiPriority w:val="99"/>
    <w:rsid w:val="00C70603"/>
    <w:rPr>
      <w:rFonts w:ascii="Times New Roman" w:eastAsia="Times New Roman" w:hAnsi="Times New Roman" w:cs="Times New Roman"/>
      <w:sz w:val="24"/>
      <w:szCs w:val="24"/>
    </w:rPr>
  </w:style>
  <w:style w:type="paragraph" w:styleId="NormalWeb">
    <w:name w:val="Normal (Web)"/>
    <w:basedOn w:val="Normal"/>
    <w:uiPriority w:val="99"/>
    <w:rsid w:val="00FA5187"/>
    <w:pPr>
      <w:widowControl w:val="0"/>
      <w:autoSpaceDE w:val="0"/>
      <w:autoSpaceDN w:val="0"/>
      <w:adjustRightInd w:val="0"/>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44"/>
    <w:pPr>
      <w:spacing w:after="0" w:line="280" w:lineRule="exact"/>
    </w:pPr>
    <w:rPr>
      <w:rFonts w:ascii="Times New Roman" w:eastAsia="Times New Roman" w:hAnsi="Times New Roman" w:cs="Times New Roman"/>
      <w:sz w:val="24"/>
      <w:szCs w:val="24"/>
    </w:rPr>
  </w:style>
  <w:style w:type="paragraph" w:styleId="Heading1">
    <w:name w:val="heading 1"/>
    <w:aliases w:val="Cover Heading"/>
    <w:next w:val="Normal"/>
    <w:link w:val="Heading1Char"/>
    <w:qFormat/>
    <w:rsid w:val="00C70603"/>
    <w:pPr>
      <w:keepNext/>
      <w:suppressAutoHyphens/>
      <w:spacing w:after="0" w:line="720" w:lineRule="exact"/>
      <w:outlineLvl w:val="0"/>
    </w:pPr>
    <w:rPr>
      <w:rFonts w:ascii="Times New Roman Bold" w:eastAsia="Times New Roman" w:hAnsi="Times New Roman Bold" w:cs="Times New Roman"/>
      <w:color w:val="634263"/>
      <w:kern w:val="32"/>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74E44"/>
    <w:pPr>
      <w:widowControl w:val="0"/>
      <w:autoSpaceDE w:val="0"/>
      <w:autoSpaceDN w:val="0"/>
      <w:adjustRightInd w:val="0"/>
      <w:spacing w:line="288" w:lineRule="auto"/>
      <w:textAlignment w:val="center"/>
    </w:pPr>
    <w:rPr>
      <w:rFonts w:cs="Times-Roman"/>
      <w:color w:val="000000"/>
      <w:lang w:bidi="en-US"/>
    </w:rPr>
  </w:style>
  <w:style w:type="paragraph" w:customStyle="1" w:styleId="commentsbox">
    <w:name w:val="comments box"/>
    <w:basedOn w:val="Normal"/>
    <w:next w:val="BasicParagraph"/>
    <w:rsid w:val="00874E44"/>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paragraph" w:styleId="Header">
    <w:name w:val="header"/>
    <w:basedOn w:val="Normal"/>
    <w:link w:val="HeaderChar"/>
    <w:rsid w:val="00874E44"/>
    <w:pPr>
      <w:tabs>
        <w:tab w:val="center" w:pos="4320"/>
        <w:tab w:val="right" w:pos="8640"/>
      </w:tabs>
    </w:pPr>
  </w:style>
  <w:style w:type="character" w:customStyle="1" w:styleId="HeaderChar">
    <w:name w:val="Header Char"/>
    <w:basedOn w:val="DefaultParagraphFont"/>
    <w:link w:val="Header"/>
    <w:rsid w:val="00874E44"/>
    <w:rPr>
      <w:rFonts w:ascii="Times New Roman" w:eastAsia="Times New Roman" w:hAnsi="Times New Roman" w:cs="Times New Roman"/>
      <w:sz w:val="24"/>
      <w:szCs w:val="24"/>
    </w:rPr>
  </w:style>
  <w:style w:type="paragraph" w:customStyle="1" w:styleId="NormalText">
    <w:name w:val="Normal Text"/>
    <w:basedOn w:val="Normal"/>
    <w:rsid w:val="00874E44"/>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styleId="Strong">
    <w:name w:val="Strong"/>
    <w:basedOn w:val="DefaultParagraphFont"/>
    <w:uiPriority w:val="22"/>
    <w:qFormat/>
    <w:rsid w:val="00874E44"/>
    <w:rPr>
      <w:b/>
      <w:bCs/>
    </w:rPr>
  </w:style>
  <w:style w:type="paragraph" w:styleId="ListParagraph">
    <w:name w:val="List Paragraph"/>
    <w:basedOn w:val="Normal"/>
    <w:uiPriority w:val="34"/>
    <w:qFormat/>
    <w:rsid w:val="00874E4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74E44"/>
    <w:rPr>
      <w:sz w:val="16"/>
      <w:szCs w:val="16"/>
    </w:rPr>
  </w:style>
  <w:style w:type="paragraph" w:styleId="CommentText">
    <w:name w:val="annotation text"/>
    <w:basedOn w:val="Normal"/>
    <w:link w:val="CommentTextChar"/>
    <w:uiPriority w:val="99"/>
    <w:unhideWhenUsed/>
    <w:rsid w:val="00874E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74E44"/>
    <w:rPr>
      <w:sz w:val="20"/>
      <w:szCs w:val="20"/>
    </w:rPr>
  </w:style>
  <w:style w:type="paragraph" w:styleId="BalloonText">
    <w:name w:val="Balloon Text"/>
    <w:basedOn w:val="Normal"/>
    <w:link w:val="BalloonTextChar"/>
    <w:uiPriority w:val="99"/>
    <w:semiHidden/>
    <w:unhideWhenUsed/>
    <w:rsid w:val="00874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44"/>
    <w:rPr>
      <w:rFonts w:ascii="Segoe UI" w:eastAsia="Times New Roman" w:hAnsi="Segoe UI" w:cs="Segoe UI"/>
      <w:sz w:val="18"/>
      <w:szCs w:val="18"/>
    </w:rPr>
  </w:style>
  <w:style w:type="paragraph" w:styleId="NoSpacing">
    <w:name w:val="No Spacing"/>
    <w:uiPriority w:val="1"/>
    <w:qFormat/>
    <w:rsid w:val="00874E44"/>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5381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5381A"/>
    <w:rPr>
      <w:rFonts w:ascii="Times New Roman" w:eastAsia="Times New Roman" w:hAnsi="Times New Roman" w:cs="Times New Roman"/>
      <w:b/>
      <w:bCs/>
      <w:sz w:val="20"/>
      <w:szCs w:val="20"/>
    </w:rPr>
  </w:style>
  <w:style w:type="paragraph" w:customStyle="1" w:styleId="LevelA">
    <w:name w:val="Level A"/>
    <w:basedOn w:val="NormalText"/>
    <w:rsid w:val="00975C57"/>
    <w:pPr>
      <w:ind w:left="360"/>
    </w:pPr>
  </w:style>
  <w:style w:type="paragraph" w:customStyle="1" w:styleId="LevelB">
    <w:name w:val="Level B"/>
    <w:basedOn w:val="NormalText"/>
    <w:rsid w:val="00975C57"/>
    <w:pPr>
      <w:ind w:left="720"/>
    </w:pPr>
  </w:style>
  <w:style w:type="paragraph" w:styleId="EndnoteText">
    <w:name w:val="endnote text"/>
    <w:basedOn w:val="Normal"/>
    <w:link w:val="EndnoteTextChar"/>
    <w:uiPriority w:val="99"/>
    <w:unhideWhenUsed/>
    <w:rsid w:val="00BD1AC7"/>
    <w:pPr>
      <w:spacing w:line="240" w:lineRule="auto"/>
    </w:pPr>
    <w:rPr>
      <w:sz w:val="20"/>
      <w:szCs w:val="20"/>
    </w:rPr>
  </w:style>
  <w:style w:type="character" w:customStyle="1" w:styleId="EndnoteTextChar">
    <w:name w:val="Endnote Text Char"/>
    <w:basedOn w:val="DefaultParagraphFont"/>
    <w:link w:val="EndnoteText"/>
    <w:uiPriority w:val="99"/>
    <w:rsid w:val="00BD1AC7"/>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BD1AC7"/>
    <w:rPr>
      <w:vertAlign w:val="superscript"/>
    </w:rPr>
  </w:style>
  <w:style w:type="character" w:styleId="Hyperlink">
    <w:name w:val="Hyperlink"/>
    <w:basedOn w:val="DefaultParagraphFont"/>
    <w:uiPriority w:val="99"/>
    <w:unhideWhenUsed/>
    <w:rsid w:val="002B47DF"/>
    <w:rPr>
      <w:color w:val="0563C1" w:themeColor="hyperlink"/>
      <w:u w:val="single"/>
    </w:rPr>
  </w:style>
  <w:style w:type="paragraph" w:styleId="FootnoteText">
    <w:name w:val="footnote text"/>
    <w:basedOn w:val="Normal"/>
    <w:link w:val="FootnoteTextChar"/>
    <w:uiPriority w:val="99"/>
    <w:semiHidden/>
    <w:unhideWhenUsed/>
    <w:rsid w:val="002B47DF"/>
    <w:pPr>
      <w:spacing w:line="240" w:lineRule="auto"/>
    </w:pPr>
    <w:rPr>
      <w:sz w:val="20"/>
      <w:szCs w:val="20"/>
    </w:rPr>
  </w:style>
  <w:style w:type="character" w:customStyle="1" w:styleId="FootnoteTextChar">
    <w:name w:val="Footnote Text Char"/>
    <w:basedOn w:val="DefaultParagraphFont"/>
    <w:link w:val="FootnoteText"/>
    <w:uiPriority w:val="99"/>
    <w:semiHidden/>
    <w:rsid w:val="002B47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7DF"/>
    <w:rPr>
      <w:vertAlign w:val="superscript"/>
    </w:rPr>
  </w:style>
  <w:style w:type="character" w:customStyle="1" w:styleId="Heading1Char">
    <w:name w:val="Heading 1 Char"/>
    <w:aliases w:val="Cover Heading Char"/>
    <w:basedOn w:val="DefaultParagraphFont"/>
    <w:link w:val="Heading1"/>
    <w:rsid w:val="00C70603"/>
    <w:rPr>
      <w:rFonts w:ascii="Times New Roman Bold" w:eastAsia="Times New Roman" w:hAnsi="Times New Roman Bold" w:cs="Times New Roman"/>
      <w:color w:val="634263"/>
      <w:kern w:val="32"/>
      <w:sz w:val="60"/>
      <w:szCs w:val="32"/>
    </w:rPr>
  </w:style>
  <w:style w:type="paragraph" w:customStyle="1" w:styleId="nPlancovertext">
    <w:name w:val="nPlan cover text"/>
    <w:basedOn w:val="Normal"/>
    <w:rsid w:val="00C70603"/>
    <w:pPr>
      <w:tabs>
        <w:tab w:val="left" w:pos="1440"/>
      </w:tabs>
      <w:ind w:left="1800"/>
    </w:pPr>
    <w:rPr>
      <w:rFonts w:cs="Arial"/>
    </w:rPr>
  </w:style>
  <w:style w:type="paragraph" w:customStyle="1" w:styleId="disclamerbox">
    <w:name w:val="disclamer box"/>
    <w:basedOn w:val="Normal"/>
    <w:rsid w:val="00C70603"/>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enter">
    <w:name w:val="Center"/>
    <w:basedOn w:val="NormalText"/>
    <w:rsid w:val="00C70603"/>
    <w:pPr>
      <w:ind w:firstLine="0"/>
      <w:jc w:val="center"/>
    </w:pPr>
  </w:style>
  <w:style w:type="paragraph" w:styleId="Footer">
    <w:name w:val="footer"/>
    <w:basedOn w:val="Normal"/>
    <w:link w:val="FooterChar"/>
    <w:uiPriority w:val="99"/>
    <w:unhideWhenUsed/>
    <w:rsid w:val="00C70603"/>
    <w:pPr>
      <w:tabs>
        <w:tab w:val="center" w:pos="4680"/>
        <w:tab w:val="right" w:pos="9360"/>
      </w:tabs>
      <w:spacing w:line="240" w:lineRule="auto"/>
    </w:pPr>
  </w:style>
  <w:style w:type="character" w:customStyle="1" w:styleId="FooterChar">
    <w:name w:val="Footer Char"/>
    <w:basedOn w:val="DefaultParagraphFont"/>
    <w:link w:val="Footer"/>
    <w:uiPriority w:val="99"/>
    <w:rsid w:val="00C70603"/>
    <w:rPr>
      <w:rFonts w:ascii="Times New Roman" w:eastAsia="Times New Roman" w:hAnsi="Times New Roman" w:cs="Times New Roman"/>
      <w:sz w:val="24"/>
      <w:szCs w:val="24"/>
    </w:rPr>
  </w:style>
  <w:style w:type="paragraph" w:styleId="NormalWeb">
    <w:name w:val="Normal (Web)"/>
    <w:basedOn w:val="Normal"/>
    <w:uiPriority w:val="99"/>
    <w:rsid w:val="00FA5187"/>
    <w:pPr>
      <w:widowControl w:val="0"/>
      <w:autoSpaceDE w:val="0"/>
      <w:autoSpaceDN w:val="0"/>
      <w:adjustRightInd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surgeongeneral.gov/library/reports/preventing-youth-tobacco-use/full-report.pdf" TargetMode="External"/><Relationship Id="rId2" Type="http://schemas.openxmlformats.org/officeDocument/2006/relationships/hyperlink" Target="https://www.tobaccofreekids.org/research/factsheets/pdf/0376.pdf" TargetMode="External"/><Relationship Id="rId1" Type="http://schemas.openxmlformats.org/officeDocument/2006/relationships/hyperlink" Target="http://www.who.int/whosis/whostat2007_10highlights.pdf" TargetMode="External"/><Relationship Id="rId6" Type="http://schemas.openxmlformats.org/officeDocument/2006/relationships/hyperlink" Target="http://www.ncbi.nlm.nih.gov/pmc/articles/PMC1447481/" TargetMode="External"/><Relationship Id="rId5" Type="http://schemas.openxmlformats.org/officeDocument/2006/relationships/hyperlink" Target="http://www.ncbi.nlm.nih.gov/pmc/articles/PMC1747607/pdf/v010p00323.pdf" TargetMode="External"/><Relationship Id="rId4" Type="http://schemas.openxmlformats.org/officeDocument/2006/relationships/hyperlink" Target="http://ajhpcontents.org/doi/abs/10.4278/0890-1171-19.5.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52A2-305A-491B-8791-F2ECD2AE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ChangeLab Solutions</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Carr</dc:creator>
  <cp:lastModifiedBy>Jennifer Wall</cp:lastModifiedBy>
  <cp:revision>2</cp:revision>
  <cp:lastPrinted>2016-11-21T23:26:00Z</cp:lastPrinted>
  <dcterms:created xsi:type="dcterms:W3CDTF">2017-01-18T22:14:00Z</dcterms:created>
  <dcterms:modified xsi:type="dcterms:W3CDTF">2017-01-18T22:14:00Z</dcterms:modified>
</cp:coreProperties>
</file>